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78736" w14:textId="77777777" w:rsidR="00B67482" w:rsidRPr="00E7124B" w:rsidRDefault="00B67482" w:rsidP="00E7124B">
      <w:pPr>
        <w:spacing w:line="360" w:lineRule="auto"/>
        <w:jc w:val="center"/>
        <w:rPr>
          <w:rStyle w:val="a8"/>
          <w:rFonts w:ascii="Arial" w:hAnsi="Arial" w:cs="Guttman Keren"/>
          <w:b w:val="0"/>
          <w:color w:val="1D5872"/>
          <w:sz w:val="22"/>
          <w:szCs w:val="22"/>
          <w:rtl/>
        </w:rPr>
      </w:pPr>
      <w:r w:rsidRPr="00E7124B">
        <w:rPr>
          <w:rStyle w:val="a8"/>
          <w:rFonts w:ascii="Arial" w:hAnsi="Arial" w:cs="Guttman Keren"/>
          <w:b w:val="0"/>
          <w:color w:val="1D5872"/>
          <w:sz w:val="22"/>
          <w:szCs w:val="22"/>
          <w:rtl/>
        </w:rPr>
        <w:t>נייר עמדה</w:t>
      </w:r>
    </w:p>
    <w:p w14:paraId="4A5B0227" w14:textId="77777777" w:rsidR="00B0675F" w:rsidRPr="0046394B" w:rsidRDefault="00D11FEB" w:rsidP="0000267A">
      <w:pPr>
        <w:spacing w:line="360" w:lineRule="auto"/>
        <w:jc w:val="center"/>
        <w:rPr>
          <w:rStyle w:val="a8"/>
          <w:rFonts w:ascii="Arial" w:hAnsi="Arial" w:cs="Guttman Keren"/>
          <w:bCs/>
          <w:color w:val="1D5872"/>
          <w:sz w:val="26"/>
          <w:szCs w:val="26"/>
          <w:rtl/>
        </w:rPr>
      </w:pPr>
      <w:r w:rsidRPr="0046394B">
        <w:rPr>
          <w:rStyle w:val="a8"/>
          <w:rFonts w:ascii="Arial" w:hAnsi="Arial" w:cs="Guttman Keren"/>
          <w:bCs/>
          <w:color w:val="1D5872"/>
          <w:sz w:val="26"/>
          <w:szCs w:val="26"/>
          <w:rtl/>
        </w:rPr>
        <w:t xml:space="preserve">הצעת חוק השיפוט הצבאי </w:t>
      </w:r>
    </w:p>
    <w:p w14:paraId="206E5C59" w14:textId="77777777" w:rsidR="00B67482" w:rsidRPr="0046394B" w:rsidRDefault="00D11FEB" w:rsidP="0000267A">
      <w:pPr>
        <w:spacing w:line="360" w:lineRule="auto"/>
        <w:jc w:val="center"/>
        <w:rPr>
          <w:rStyle w:val="a8"/>
          <w:rFonts w:ascii="Arial" w:hAnsi="Arial" w:cs="Guttman Keren"/>
          <w:bCs/>
          <w:color w:val="1D5872"/>
          <w:sz w:val="26"/>
          <w:szCs w:val="26"/>
          <w:rtl/>
        </w:rPr>
      </w:pPr>
      <w:r w:rsidRPr="0046394B">
        <w:rPr>
          <w:rStyle w:val="a8"/>
          <w:rFonts w:ascii="Arial" w:hAnsi="Arial" w:cs="Guttman Keren"/>
          <w:bCs/>
          <w:color w:val="1D5872"/>
          <w:sz w:val="26"/>
          <w:szCs w:val="26"/>
          <w:rtl/>
        </w:rPr>
        <w:t xml:space="preserve">(תיקון </w:t>
      </w:r>
      <w:r w:rsidR="0046394B">
        <w:rPr>
          <w:rStyle w:val="a8"/>
          <w:rFonts w:ascii="Arial" w:hAnsi="Arial" w:cs="Guttman Keren"/>
          <w:bCs/>
          <w:color w:val="1D5872"/>
          <w:sz w:val="26"/>
          <w:szCs w:val="26"/>
          <w:rtl/>
        </w:rPr>
        <w:t>–</w:t>
      </w:r>
      <w:r w:rsidRPr="0046394B">
        <w:rPr>
          <w:rStyle w:val="a8"/>
          <w:rFonts w:ascii="Arial" w:hAnsi="Arial" w:cs="Guttman Keren"/>
          <w:bCs/>
          <w:color w:val="1D5872"/>
          <w:sz w:val="26"/>
          <w:szCs w:val="26"/>
          <w:rtl/>
        </w:rPr>
        <w:t xml:space="preserve"> קביעת תסקיר מבחן לחיילים)</w:t>
      </w:r>
      <w:r w:rsidR="0046394B">
        <w:rPr>
          <w:rStyle w:val="a8"/>
          <w:rFonts w:ascii="Arial" w:hAnsi="Arial" w:cs="Guttman Keren" w:hint="cs"/>
          <w:bCs/>
          <w:color w:val="1D5872"/>
          <w:sz w:val="26"/>
          <w:szCs w:val="26"/>
          <w:rtl/>
        </w:rPr>
        <w:t>,</w:t>
      </w:r>
      <w:r w:rsidRPr="0046394B">
        <w:rPr>
          <w:rStyle w:val="a8"/>
          <w:rFonts w:ascii="Arial" w:hAnsi="Arial" w:cs="Guttman Keren" w:hint="cs"/>
          <w:bCs/>
          <w:color w:val="1D5872"/>
          <w:sz w:val="26"/>
          <w:szCs w:val="26"/>
          <w:rtl/>
        </w:rPr>
        <w:t xml:space="preserve"> </w:t>
      </w:r>
      <w:r w:rsidR="00425A6B" w:rsidRPr="0046394B">
        <w:rPr>
          <w:rStyle w:val="a8"/>
          <w:rFonts w:ascii="Arial" w:hAnsi="Arial" w:cs="Guttman Keren" w:hint="cs"/>
          <w:bCs/>
          <w:color w:val="1D5872"/>
          <w:sz w:val="26"/>
          <w:szCs w:val="26"/>
          <w:rtl/>
        </w:rPr>
        <w:t>התשע"ח-2018</w:t>
      </w:r>
    </w:p>
    <w:p w14:paraId="44D9956D" w14:textId="77777777" w:rsidR="00E7124B" w:rsidRPr="00E7124B" w:rsidRDefault="00B67482" w:rsidP="00E7124B">
      <w:pPr>
        <w:spacing w:after="240" w:line="360" w:lineRule="auto"/>
        <w:rPr>
          <w:rFonts w:ascii="Arial" w:hAnsi="Arial" w:cs="Guttman Keren"/>
          <w:b/>
          <w:bCs/>
          <w:color w:val="1D5872"/>
          <w:sz w:val="24"/>
          <w:szCs w:val="24"/>
          <w:rtl/>
        </w:rPr>
      </w:pPr>
      <w:r w:rsidRPr="00B35509">
        <w:rPr>
          <w:rStyle w:val="a8"/>
          <w:rFonts w:ascii="Arial" w:hAnsi="Arial" w:cs="Guttman Keren"/>
          <w:bCs/>
          <w:color w:val="1D5872"/>
          <w:sz w:val="24"/>
          <w:szCs w:val="24"/>
          <w:rtl/>
        </w:rPr>
        <w:t>מבוא</w:t>
      </w:r>
      <w:r w:rsidR="00E7124B">
        <w:rPr>
          <w:rFonts w:cs="David" w:hint="cs"/>
          <w:snapToGrid w:val="0"/>
          <w:color w:val="000000"/>
          <w:sz w:val="24"/>
          <w:szCs w:val="24"/>
          <w:rtl/>
          <w:lang w:eastAsia="ja-JP"/>
        </w:rPr>
        <w:t xml:space="preserve">    </w:t>
      </w:r>
    </w:p>
    <w:p w14:paraId="6A46614B" w14:textId="77777777" w:rsidR="0083402E" w:rsidRPr="00B9326E" w:rsidRDefault="00D746A3" w:rsidP="00E7124B">
      <w:pPr>
        <w:spacing w:after="240" w:line="360" w:lineRule="auto"/>
        <w:jc w:val="both"/>
        <w:rPr>
          <w:rStyle w:val="a8"/>
          <w:rFonts w:cs="David"/>
          <w:b w:val="0"/>
          <w:snapToGrid w:val="0"/>
          <w:color w:val="000000"/>
          <w:sz w:val="24"/>
          <w:szCs w:val="24"/>
          <w:rtl/>
          <w:lang w:eastAsia="ja-JP"/>
        </w:rPr>
      </w:pPr>
      <w:r w:rsidRPr="00D746A3">
        <w:rPr>
          <w:rFonts w:cs="David"/>
          <w:snapToGrid w:val="0"/>
          <w:color w:val="000000"/>
          <w:sz w:val="24"/>
          <w:szCs w:val="24"/>
          <w:rtl/>
          <w:lang w:eastAsia="ja-JP"/>
        </w:rPr>
        <w:t xml:space="preserve">הצעת החוק </w:t>
      </w:r>
      <w:r w:rsidR="00E7124B">
        <w:rPr>
          <w:rFonts w:cs="David" w:hint="cs"/>
          <w:snapToGrid w:val="0"/>
          <w:color w:val="000000"/>
          <w:sz w:val="24"/>
          <w:szCs w:val="24"/>
          <w:rtl/>
          <w:lang w:eastAsia="ja-JP"/>
        </w:rPr>
        <w:t xml:space="preserve">מבקשת </w:t>
      </w:r>
      <w:r w:rsidRPr="00D746A3">
        <w:rPr>
          <w:rFonts w:cs="David"/>
          <w:snapToGrid w:val="0"/>
          <w:color w:val="000000"/>
          <w:sz w:val="24"/>
          <w:szCs w:val="24"/>
          <w:rtl/>
          <w:lang w:eastAsia="ja-JP"/>
        </w:rPr>
        <w:t>ל</w:t>
      </w:r>
      <w:r w:rsidR="00E7124B">
        <w:rPr>
          <w:rFonts w:cs="David" w:hint="cs"/>
          <w:snapToGrid w:val="0"/>
          <w:color w:val="000000"/>
          <w:sz w:val="24"/>
          <w:szCs w:val="24"/>
          <w:rtl/>
          <w:lang w:eastAsia="ja-JP"/>
        </w:rPr>
        <w:t xml:space="preserve">חייב את העיון </w:t>
      </w:r>
      <w:r w:rsidRPr="00D746A3">
        <w:rPr>
          <w:rFonts w:cs="David"/>
          <w:snapToGrid w:val="0"/>
          <w:color w:val="000000"/>
          <w:sz w:val="24"/>
          <w:szCs w:val="24"/>
          <w:rtl/>
          <w:lang w:eastAsia="ja-JP"/>
        </w:rPr>
        <w:t>בתסקיר מבחן בטרם יושת על</w:t>
      </w:r>
      <w:r w:rsidR="00B9326E">
        <w:rPr>
          <w:rFonts w:cs="David" w:hint="cs"/>
          <w:snapToGrid w:val="0"/>
          <w:color w:val="000000"/>
          <w:sz w:val="24"/>
          <w:szCs w:val="24"/>
          <w:rtl/>
          <w:lang w:eastAsia="ja-JP"/>
        </w:rPr>
        <w:t xml:space="preserve"> חייל</w:t>
      </w:r>
      <w:r w:rsidRPr="00D746A3">
        <w:rPr>
          <w:rFonts w:cs="David"/>
          <w:snapToGrid w:val="0"/>
          <w:color w:val="000000"/>
          <w:sz w:val="24"/>
          <w:szCs w:val="24"/>
          <w:rtl/>
          <w:lang w:eastAsia="ja-JP"/>
        </w:rPr>
        <w:t xml:space="preserve"> עונש </w:t>
      </w:r>
      <w:r w:rsidR="00E7124B">
        <w:rPr>
          <w:rFonts w:cs="David"/>
          <w:snapToGrid w:val="0"/>
          <w:color w:val="000000"/>
          <w:sz w:val="24"/>
          <w:szCs w:val="24"/>
          <w:rtl/>
          <w:lang w:eastAsia="ja-JP"/>
        </w:rPr>
        <w:t>לריצוי</w:t>
      </w:r>
      <w:r w:rsidR="00E7124B" w:rsidRPr="00E7124B">
        <w:rPr>
          <w:rFonts w:cs="David"/>
          <w:snapToGrid w:val="0"/>
          <w:color w:val="000000"/>
          <w:sz w:val="24"/>
          <w:szCs w:val="24"/>
          <w:rtl/>
          <w:lang w:eastAsia="ja-JP"/>
        </w:rPr>
        <w:t xml:space="preserve"> </w:t>
      </w:r>
      <w:r w:rsidR="00E7124B" w:rsidRPr="00D746A3">
        <w:rPr>
          <w:rFonts w:cs="David"/>
          <w:snapToGrid w:val="0"/>
          <w:color w:val="000000"/>
          <w:sz w:val="24"/>
          <w:szCs w:val="24"/>
          <w:rtl/>
          <w:lang w:eastAsia="ja-JP"/>
        </w:rPr>
        <w:t xml:space="preserve">מאסר </w:t>
      </w:r>
      <w:r w:rsidR="00E7124B">
        <w:rPr>
          <w:rFonts w:cs="David" w:hint="cs"/>
          <w:snapToGrid w:val="0"/>
          <w:color w:val="000000"/>
          <w:sz w:val="24"/>
          <w:szCs w:val="24"/>
          <w:rtl/>
          <w:lang w:eastAsia="ja-JP"/>
        </w:rPr>
        <w:t>ב</w:t>
      </w:r>
      <w:r w:rsidRPr="00D746A3">
        <w:rPr>
          <w:rFonts w:cs="David"/>
          <w:snapToGrid w:val="0"/>
          <w:color w:val="000000"/>
          <w:sz w:val="24"/>
          <w:szCs w:val="24"/>
          <w:rtl/>
          <w:lang w:eastAsia="ja-JP"/>
        </w:rPr>
        <w:t>פועל</w:t>
      </w:r>
      <w:r w:rsidR="00B9326E">
        <w:rPr>
          <w:rFonts w:cs="David" w:hint="cs"/>
          <w:snapToGrid w:val="0"/>
          <w:color w:val="000000"/>
          <w:sz w:val="24"/>
          <w:szCs w:val="24"/>
          <w:rtl/>
          <w:lang w:eastAsia="ja-JP"/>
        </w:rPr>
        <w:t xml:space="preserve">, וכן </w:t>
      </w:r>
      <w:r w:rsidR="00E7124B">
        <w:rPr>
          <w:rFonts w:cs="David" w:hint="cs"/>
          <w:snapToGrid w:val="0"/>
          <w:color w:val="000000"/>
          <w:sz w:val="24"/>
          <w:szCs w:val="24"/>
          <w:rtl/>
          <w:lang w:eastAsia="ja-JP"/>
        </w:rPr>
        <w:t xml:space="preserve">לקבוע כי </w:t>
      </w:r>
      <w:r w:rsidR="00B9326E">
        <w:rPr>
          <w:rFonts w:cs="David" w:hint="cs"/>
          <w:snapToGrid w:val="0"/>
          <w:color w:val="000000"/>
          <w:sz w:val="24"/>
          <w:szCs w:val="24"/>
          <w:rtl/>
          <w:lang w:eastAsia="ja-JP"/>
        </w:rPr>
        <w:t xml:space="preserve">במידה </w:t>
      </w:r>
      <w:r w:rsidR="00E7124B">
        <w:rPr>
          <w:rFonts w:cs="David" w:hint="cs"/>
          <w:snapToGrid w:val="0"/>
          <w:color w:val="000000"/>
          <w:sz w:val="24"/>
          <w:szCs w:val="24"/>
          <w:rtl/>
          <w:lang w:eastAsia="ja-JP"/>
        </w:rPr>
        <w:t xml:space="preserve">שהוטל עונש </w:t>
      </w:r>
      <w:r w:rsidR="00B9326E">
        <w:rPr>
          <w:rFonts w:cs="David" w:hint="cs"/>
          <w:snapToGrid w:val="0"/>
          <w:color w:val="000000"/>
          <w:sz w:val="24"/>
          <w:szCs w:val="24"/>
          <w:rtl/>
          <w:lang w:eastAsia="ja-JP"/>
        </w:rPr>
        <w:t xml:space="preserve">כזה </w:t>
      </w:r>
      <w:r w:rsidR="00E7124B">
        <w:rPr>
          <w:rFonts w:cs="David"/>
          <w:snapToGrid w:val="0"/>
          <w:color w:val="000000"/>
          <w:sz w:val="24"/>
          <w:szCs w:val="24"/>
          <w:rtl/>
          <w:lang w:eastAsia="ja-JP"/>
        </w:rPr>
        <w:t>–</w:t>
      </w:r>
      <w:r w:rsidR="00B9326E">
        <w:rPr>
          <w:rFonts w:cs="David" w:hint="cs"/>
          <w:snapToGrid w:val="0"/>
          <w:color w:val="000000"/>
          <w:sz w:val="24"/>
          <w:szCs w:val="24"/>
          <w:rtl/>
          <w:lang w:eastAsia="ja-JP"/>
        </w:rPr>
        <w:t xml:space="preserve"> יי</w:t>
      </w:r>
      <w:r w:rsidR="00B9326E" w:rsidRPr="00B9326E">
        <w:rPr>
          <w:rFonts w:cs="David"/>
          <w:snapToGrid w:val="0"/>
          <w:color w:val="000000"/>
          <w:sz w:val="24"/>
          <w:szCs w:val="24"/>
          <w:rtl/>
          <w:lang w:eastAsia="ja-JP"/>
        </w:rPr>
        <w:t>שלח העתק מ</w:t>
      </w:r>
      <w:r w:rsidR="00B636CB">
        <w:rPr>
          <w:rFonts w:cs="David" w:hint="cs"/>
          <w:snapToGrid w:val="0"/>
          <w:color w:val="000000"/>
          <w:sz w:val="24"/>
          <w:szCs w:val="24"/>
          <w:rtl/>
          <w:lang w:eastAsia="ja-JP"/>
        </w:rPr>
        <w:t>ן התסקיר</w:t>
      </w:r>
      <w:r w:rsidR="00B9326E" w:rsidRPr="00B9326E">
        <w:rPr>
          <w:rFonts w:cs="David"/>
          <w:snapToGrid w:val="0"/>
          <w:color w:val="000000"/>
          <w:sz w:val="24"/>
          <w:szCs w:val="24"/>
          <w:rtl/>
          <w:lang w:eastAsia="ja-JP"/>
        </w:rPr>
        <w:t xml:space="preserve"> לקצין המשטרה הצבאי</w:t>
      </w:r>
      <w:r w:rsidR="00E7124B">
        <w:rPr>
          <w:rFonts w:cs="David" w:hint="cs"/>
          <w:snapToGrid w:val="0"/>
          <w:color w:val="000000"/>
          <w:sz w:val="24"/>
          <w:szCs w:val="24"/>
          <w:rtl/>
          <w:lang w:eastAsia="ja-JP"/>
        </w:rPr>
        <w:t>ת</w:t>
      </w:r>
      <w:r w:rsidR="00B9326E" w:rsidRPr="00B9326E">
        <w:rPr>
          <w:rFonts w:cs="David"/>
          <w:snapToGrid w:val="0"/>
          <w:color w:val="000000"/>
          <w:sz w:val="24"/>
          <w:szCs w:val="24"/>
          <w:rtl/>
          <w:lang w:eastAsia="ja-JP"/>
        </w:rPr>
        <w:t xml:space="preserve"> הראשי לשם התוויית דרך הטיפול באסיר</w:t>
      </w:r>
      <w:r w:rsidR="00E7124B">
        <w:rPr>
          <w:rFonts w:cs="David" w:hint="cs"/>
          <w:snapToGrid w:val="0"/>
          <w:color w:val="000000"/>
          <w:sz w:val="24"/>
          <w:szCs w:val="24"/>
          <w:rtl/>
          <w:lang w:eastAsia="ja-JP"/>
        </w:rPr>
        <w:t xml:space="preserve">. לפי ההצעה, </w:t>
      </w:r>
      <w:r w:rsidR="00B9326E">
        <w:rPr>
          <w:rFonts w:cs="David" w:hint="cs"/>
          <w:snapToGrid w:val="0"/>
          <w:color w:val="000000"/>
          <w:sz w:val="24"/>
          <w:szCs w:val="24"/>
          <w:rtl/>
          <w:lang w:eastAsia="ja-JP"/>
        </w:rPr>
        <w:t>תסקיר</w:t>
      </w:r>
      <w:r w:rsidR="00E7124B">
        <w:rPr>
          <w:rFonts w:cs="David" w:hint="cs"/>
          <w:snapToGrid w:val="0"/>
          <w:color w:val="000000"/>
          <w:sz w:val="24"/>
          <w:szCs w:val="24"/>
          <w:rtl/>
          <w:lang w:eastAsia="ja-JP"/>
        </w:rPr>
        <w:t xml:space="preserve"> המבחן</w:t>
      </w:r>
      <w:r w:rsidR="00B9326E">
        <w:rPr>
          <w:rFonts w:cs="David" w:hint="cs"/>
          <w:snapToGrid w:val="0"/>
          <w:color w:val="000000"/>
          <w:sz w:val="24"/>
          <w:szCs w:val="24"/>
          <w:rtl/>
          <w:lang w:eastAsia="ja-JP"/>
        </w:rPr>
        <w:t xml:space="preserve"> יכלול מידע על עברו של הנאשם, </w:t>
      </w:r>
      <w:r w:rsidR="00E7124B">
        <w:rPr>
          <w:rFonts w:cs="David" w:hint="cs"/>
          <w:snapToGrid w:val="0"/>
          <w:color w:val="000000"/>
          <w:sz w:val="24"/>
          <w:szCs w:val="24"/>
          <w:rtl/>
          <w:lang w:eastAsia="ja-JP"/>
        </w:rPr>
        <w:t>הרקע</w:t>
      </w:r>
      <w:r w:rsidR="00B9326E">
        <w:rPr>
          <w:rFonts w:cs="David" w:hint="cs"/>
          <w:snapToGrid w:val="0"/>
          <w:color w:val="000000"/>
          <w:sz w:val="24"/>
          <w:szCs w:val="24"/>
          <w:rtl/>
          <w:lang w:eastAsia="ja-JP"/>
        </w:rPr>
        <w:t xml:space="preserve"> המשפחתי והכלכלי</w:t>
      </w:r>
      <w:r w:rsidR="00E7124B">
        <w:rPr>
          <w:rFonts w:cs="David" w:hint="cs"/>
          <w:snapToGrid w:val="0"/>
          <w:color w:val="000000"/>
          <w:sz w:val="24"/>
          <w:szCs w:val="24"/>
          <w:rtl/>
          <w:lang w:eastAsia="ja-JP"/>
        </w:rPr>
        <w:t xml:space="preserve"> שלו</w:t>
      </w:r>
      <w:r w:rsidR="00B9326E">
        <w:rPr>
          <w:rFonts w:cs="David" w:hint="cs"/>
          <w:snapToGrid w:val="0"/>
          <w:color w:val="000000"/>
          <w:sz w:val="24"/>
          <w:szCs w:val="24"/>
          <w:rtl/>
          <w:lang w:eastAsia="ja-JP"/>
        </w:rPr>
        <w:t>, וכן ה</w:t>
      </w:r>
      <w:r w:rsidR="00E7124B">
        <w:rPr>
          <w:rFonts w:cs="David" w:hint="cs"/>
          <w:snapToGrid w:val="0"/>
          <w:color w:val="000000"/>
          <w:sz w:val="24"/>
          <w:szCs w:val="24"/>
          <w:rtl/>
          <w:lang w:eastAsia="ja-JP"/>
        </w:rPr>
        <w:t xml:space="preserve">תייחסות לנסיבות שהביאו לעבירה. </w:t>
      </w:r>
      <w:r w:rsidR="00B9326E">
        <w:rPr>
          <w:rFonts w:cs="David" w:hint="cs"/>
          <w:snapToGrid w:val="0"/>
          <w:color w:val="000000"/>
          <w:sz w:val="24"/>
          <w:szCs w:val="24"/>
          <w:rtl/>
          <w:lang w:eastAsia="ja-JP"/>
        </w:rPr>
        <w:t>נוסף</w:t>
      </w:r>
      <w:r w:rsidR="00E7124B">
        <w:rPr>
          <w:rFonts w:cs="David" w:hint="cs"/>
          <w:snapToGrid w:val="0"/>
          <w:color w:val="000000"/>
          <w:sz w:val="24"/>
          <w:szCs w:val="24"/>
          <w:rtl/>
          <w:lang w:eastAsia="ja-JP"/>
        </w:rPr>
        <w:t xml:space="preserve"> על כך,</w:t>
      </w:r>
      <w:r w:rsidR="00B9326E">
        <w:rPr>
          <w:rFonts w:cs="David" w:hint="cs"/>
          <w:snapToGrid w:val="0"/>
          <w:color w:val="000000"/>
          <w:sz w:val="24"/>
          <w:szCs w:val="24"/>
          <w:rtl/>
          <w:lang w:eastAsia="ja-JP"/>
        </w:rPr>
        <w:t xml:space="preserve"> יכול התסקיר לכלול המלצה לגבי הדרך הטובה ביותר לש</w:t>
      </w:r>
      <w:r w:rsidR="00E7124B">
        <w:rPr>
          <w:rFonts w:cs="David" w:hint="cs"/>
          <w:snapToGrid w:val="0"/>
          <w:color w:val="000000"/>
          <w:sz w:val="24"/>
          <w:szCs w:val="24"/>
          <w:rtl/>
          <w:lang w:eastAsia="ja-JP"/>
        </w:rPr>
        <w:t>י</w:t>
      </w:r>
      <w:r w:rsidR="00B9326E">
        <w:rPr>
          <w:rFonts w:cs="David" w:hint="cs"/>
          <w:snapToGrid w:val="0"/>
          <w:color w:val="000000"/>
          <w:sz w:val="24"/>
          <w:szCs w:val="24"/>
          <w:rtl/>
          <w:lang w:eastAsia="ja-JP"/>
        </w:rPr>
        <w:t>ק</w:t>
      </w:r>
      <w:r w:rsidR="00E7124B">
        <w:rPr>
          <w:rFonts w:cs="David" w:hint="cs"/>
          <w:snapToGrid w:val="0"/>
          <w:color w:val="000000"/>
          <w:sz w:val="24"/>
          <w:szCs w:val="24"/>
          <w:rtl/>
          <w:lang w:eastAsia="ja-JP"/>
        </w:rPr>
        <w:t>ומו</w:t>
      </w:r>
      <w:r w:rsidR="00B9326E">
        <w:rPr>
          <w:rFonts w:cs="David" w:hint="cs"/>
          <w:snapToGrid w:val="0"/>
          <w:color w:val="000000"/>
          <w:sz w:val="24"/>
          <w:szCs w:val="24"/>
          <w:rtl/>
          <w:lang w:eastAsia="ja-JP"/>
        </w:rPr>
        <w:t xml:space="preserve"> החייל המורשע ו</w:t>
      </w:r>
      <w:r w:rsidR="00E7124B">
        <w:rPr>
          <w:rFonts w:cs="David" w:hint="cs"/>
          <w:snapToGrid w:val="0"/>
          <w:color w:val="000000"/>
          <w:sz w:val="24"/>
          <w:szCs w:val="24"/>
          <w:rtl/>
          <w:lang w:eastAsia="ja-JP"/>
        </w:rPr>
        <w:t xml:space="preserve">השבתו </w:t>
      </w:r>
      <w:r w:rsidR="00B9326E">
        <w:rPr>
          <w:rFonts w:cs="David" w:hint="cs"/>
          <w:snapToGrid w:val="0"/>
          <w:color w:val="000000"/>
          <w:sz w:val="24"/>
          <w:szCs w:val="24"/>
          <w:rtl/>
          <w:lang w:eastAsia="ja-JP"/>
        </w:rPr>
        <w:t>למוטב.</w:t>
      </w:r>
      <w:r w:rsidR="00E7124B">
        <w:rPr>
          <w:rFonts w:cs="David" w:hint="cs"/>
          <w:snapToGrid w:val="0"/>
          <w:color w:val="000000"/>
          <w:sz w:val="24"/>
          <w:szCs w:val="24"/>
          <w:rtl/>
          <w:lang w:eastAsia="ja-JP"/>
        </w:rPr>
        <w:t xml:space="preserve"> חוק העונשין (העוסק בדינם של אזרחים) קובע אף הוא כי הטלת עונש מאסר בפועל על אזרח תיעשה רק לאחר עיון בתסקיר מבחן של הנאשם,</w:t>
      </w:r>
      <w:r w:rsidR="00E7124B" w:rsidRPr="0046394B">
        <w:rPr>
          <w:rStyle w:val="af0"/>
          <w:rtl/>
        </w:rPr>
        <w:endnoteReference w:id="1"/>
      </w:r>
      <w:r w:rsidR="00E7124B">
        <w:rPr>
          <w:rFonts w:cs="David" w:hint="cs"/>
          <w:snapToGrid w:val="0"/>
          <w:color w:val="000000"/>
          <w:sz w:val="24"/>
          <w:szCs w:val="24"/>
          <w:rtl/>
          <w:lang w:eastAsia="ja-JP"/>
        </w:rPr>
        <w:t xml:space="preserve"> והצעת החוק שלפנינו מבקשת להשוות בין </w:t>
      </w:r>
      <w:r w:rsidR="00B9326E">
        <w:rPr>
          <w:rStyle w:val="a8"/>
          <w:rFonts w:cs="David" w:hint="cs"/>
          <w:b w:val="0"/>
          <w:snapToGrid w:val="0"/>
          <w:color w:val="000000"/>
          <w:sz w:val="24"/>
          <w:szCs w:val="24"/>
          <w:rtl/>
          <w:lang w:eastAsia="ja-JP"/>
        </w:rPr>
        <w:t xml:space="preserve">חיילים </w:t>
      </w:r>
      <w:r w:rsidR="00E7124B">
        <w:rPr>
          <w:rStyle w:val="a8"/>
          <w:rFonts w:cs="David" w:hint="cs"/>
          <w:b w:val="0"/>
          <w:snapToGrid w:val="0"/>
          <w:color w:val="000000"/>
          <w:sz w:val="24"/>
          <w:szCs w:val="24"/>
          <w:rtl/>
          <w:lang w:eastAsia="ja-JP"/>
        </w:rPr>
        <w:t>ל</w:t>
      </w:r>
      <w:r w:rsidR="005C1B80">
        <w:rPr>
          <w:rStyle w:val="a8"/>
          <w:rFonts w:cs="David" w:hint="cs"/>
          <w:b w:val="0"/>
          <w:snapToGrid w:val="0"/>
          <w:color w:val="000000"/>
          <w:sz w:val="24"/>
          <w:szCs w:val="24"/>
          <w:rtl/>
          <w:lang w:eastAsia="ja-JP"/>
        </w:rPr>
        <w:t xml:space="preserve">בין </w:t>
      </w:r>
      <w:r w:rsidR="00B9326E">
        <w:rPr>
          <w:rStyle w:val="a8"/>
          <w:rFonts w:cs="David" w:hint="cs"/>
          <w:b w:val="0"/>
          <w:snapToGrid w:val="0"/>
          <w:color w:val="000000"/>
          <w:sz w:val="24"/>
          <w:szCs w:val="24"/>
          <w:rtl/>
          <w:lang w:eastAsia="ja-JP"/>
        </w:rPr>
        <w:t>אזרחים</w:t>
      </w:r>
      <w:r w:rsidR="00E7124B">
        <w:rPr>
          <w:rStyle w:val="a8"/>
          <w:rFonts w:cs="David" w:hint="cs"/>
          <w:b w:val="0"/>
          <w:snapToGrid w:val="0"/>
          <w:color w:val="000000"/>
          <w:sz w:val="24"/>
          <w:szCs w:val="24"/>
          <w:rtl/>
          <w:lang w:eastAsia="ja-JP"/>
        </w:rPr>
        <w:t xml:space="preserve"> בעניין זה</w:t>
      </w:r>
      <w:r w:rsidR="00425A6B">
        <w:rPr>
          <w:rStyle w:val="a8"/>
          <w:rFonts w:cs="David" w:hint="cs"/>
          <w:b w:val="0"/>
          <w:snapToGrid w:val="0"/>
          <w:color w:val="000000"/>
          <w:sz w:val="24"/>
          <w:szCs w:val="24"/>
          <w:rtl/>
          <w:lang w:eastAsia="ja-JP"/>
        </w:rPr>
        <w:t>.</w:t>
      </w:r>
    </w:p>
    <w:p w14:paraId="290F6D43" w14:textId="77777777" w:rsidR="00B67482" w:rsidRPr="0046394B" w:rsidRDefault="00A81E14" w:rsidP="00A66FF3">
      <w:pPr>
        <w:pStyle w:val="2"/>
        <w:spacing w:after="240"/>
        <w:rPr>
          <w:sz w:val="28"/>
          <w:szCs w:val="28"/>
          <w:rtl/>
        </w:rPr>
      </w:pPr>
      <w:r w:rsidRPr="0046394B">
        <w:rPr>
          <w:rStyle w:val="a8"/>
          <w:rFonts w:ascii="Arial" w:hAnsi="Arial" w:cs="Guttman Keren" w:hint="cs"/>
          <w:bCs/>
          <w:color w:val="1D5872"/>
          <w:sz w:val="24"/>
          <w:szCs w:val="24"/>
          <w:rtl/>
        </w:rPr>
        <w:t>ה</w:t>
      </w:r>
      <w:r w:rsidR="00B67482" w:rsidRPr="0046394B">
        <w:rPr>
          <w:rStyle w:val="a8"/>
          <w:rFonts w:ascii="Arial" w:hAnsi="Arial" w:cs="Guttman Keren"/>
          <w:bCs/>
          <w:color w:val="1D5872"/>
          <w:sz w:val="24"/>
          <w:szCs w:val="24"/>
          <w:rtl/>
        </w:rPr>
        <w:t xml:space="preserve">מבט </w:t>
      </w:r>
      <w:r w:rsidRPr="0046394B">
        <w:rPr>
          <w:rStyle w:val="a8"/>
          <w:rFonts w:ascii="Arial" w:hAnsi="Arial" w:cs="Guttman Keren" w:hint="cs"/>
          <w:bCs/>
          <w:color w:val="1D5872"/>
          <w:sz w:val="24"/>
          <w:szCs w:val="24"/>
          <w:rtl/>
        </w:rPr>
        <w:t>ה</w:t>
      </w:r>
      <w:r w:rsidR="00B67482" w:rsidRPr="0046394B">
        <w:rPr>
          <w:rStyle w:val="a8"/>
          <w:rFonts w:ascii="Arial" w:hAnsi="Arial" w:cs="Guttman Keren"/>
          <w:bCs/>
          <w:color w:val="1D5872"/>
          <w:sz w:val="24"/>
          <w:szCs w:val="24"/>
          <w:rtl/>
        </w:rPr>
        <w:t>יהודי</w:t>
      </w:r>
    </w:p>
    <w:p w14:paraId="4FDF7636" w14:textId="77777777" w:rsidR="00BE0061" w:rsidRPr="00442975" w:rsidRDefault="00CE0747" w:rsidP="00E7124B">
      <w:pPr>
        <w:spacing w:after="240" w:line="360" w:lineRule="auto"/>
        <w:jc w:val="both"/>
        <w:rPr>
          <w:rFonts w:cs="David"/>
          <w:sz w:val="24"/>
          <w:szCs w:val="24"/>
        </w:rPr>
      </w:pPr>
      <w:r>
        <w:rPr>
          <w:rFonts w:cs="David" w:hint="cs"/>
          <w:b/>
          <w:bCs/>
          <w:sz w:val="24"/>
          <w:szCs w:val="24"/>
          <w:rtl/>
        </w:rPr>
        <w:t xml:space="preserve">1. </w:t>
      </w:r>
      <w:r w:rsidR="00A81E14">
        <w:rPr>
          <w:rFonts w:cs="David" w:hint="cs"/>
          <w:b/>
          <w:bCs/>
          <w:sz w:val="24"/>
          <w:szCs w:val="24"/>
          <w:rtl/>
        </w:rPr>
        <w:t>ה</w:t>
      </w:r>
      <w:r w:rsidR="00B5518E">
        <w:rPr>
          <w:rFonts w:cs="David" w:hint="cs"/>
          <w:b/>
          <w:bCs/>
          <w:sz w:val="24"/>
          <w:szCs w:val="24"/>
          <w:rtl/>
        </w:rPr>
        <w:t>תחשבות באופי הנאשם ו</w:t>
      </w:r>
      <w:r w:rsidR="00E7124B">
        <w:rPr>
          <w:rFonts w:cs="David" w:hint="cs"/>
          <w:b/>
          <w:bCs/>
          <w:sz w:val="24"/>
          <w:szCs w:val="24"/>
          <w:rtl/>
        </w:rPr>
        <w:t>ברקע האישי שלו</w:t>
      </w:r>
      <w:r w:rsidR="00B5518E">
        <w:rPr>
          <w:rFonts w:cs="David" w:hint="cs"/>
          <w:b/>
          <w:bCs/>
          <w:sz w:val="24"/>
          <w:szCs w:val="24"/>
          <w:rtl/>
        </w:rPr>
        <w:t xml:space="preserve"> בעת קביעת העונש</w:t>
      </w:r>
      <w:r w:rsidR="00B67482">
        <w:rPr>
          <w:rFonts w:cs="David"/>
          <w:b/>
          <w:bCs/>
          <w:sz w:val="24"/>
          <w:szCs w:val="24"/>
          <w:rtl/>
        </w:rPr>
        <w:t xml:space="preserve"> </w:t>
      </w:r>
      <w:r>
        <w:rPr>
          <w:rFonts w:cs="David"/>
          <w:b/>
          <w:bCs/>
          <w:sz w:val="24"/>
          <w:szCs w:val="24"/>
          <w:rtl/>
        </w:rPr>
        <w:t>–</w:t>
      </w:r>
      <w:r>
        <w:rPr>
          <w:rFonts w:cs="David" w:hint="cs"/>
          <w:b/>
          <w:bCs/>
          <w:sz w:val="24"/>
          <w:szCs w:val="24"/>
          <w:rtl/>
        </w:rPr>
        <w:t xml:space="preserve"> </w:t>
      </w:r>
      <w:r w:rsidR="00B5518E">
        <w:rPr>
          <w:rFonts w:cs="David" w:hint="cs"/>
          <w:sz w:val="24"/>
          <w:szCs w:val="24"/>
          <w:rtl/>
        </w:rPr>
        <w:t>היהדות מבחינה בין שתי מערכות משפט</w:t>
      </w:r>
      <w:r>
        <w:rPr>
          <w:rFonts w:cs="David" w:hint="cs"/>
          <w:sz w:val="24"/>
          <w:szCs w:val="24"/>
          <w:rtl/>
        </w:rPr>
        <w:t xml:space="preserve">: </w:t>
      </w:r>
      <w:r w:rsidR="00E7124B">
        <w:rPr>
          <w:rFonts w:cs="David" w:hint="cs"/>
          <w:sz w:val="24"/>
          <w:szCs w:val="24"/>
          <w:rtl/>
        </w:rPr>
        <w:t>מערכת אחת הכפופה להוראותיה המדויקות של התורה</w:t>
      </w:r>
      <w:r>
        <w:rPr>
          <w:rFonts w:cs="David" w:hint="cs"/>
          <w:sz w:val="24"/>
          <w:szCs w:val="24"/>
          <w:rtl/>
        </w:rPr>
        <w:t xml:space="preserve"> </w:t>
      </w:r>
      <w:r w:rsidR="00E7124B">
        <w:rPr>
          <w:rFonts w:cs="David" w:hint="cs"/>
          <w:sz w:val="24"/>
          <w:szCs w:val="24"/>
          <w:rtl/>
        </w:rPr>
        <w:t xml:space="preserve">שבכתב </w:t>
      </w:r>
      <w:proofErr w:type="spellStart"/>
      <w:r w:rsidR="00E7124B">
        <w:rPr>
          <w:rFonts w:cs="David" w:hint="cs"/>
          <w:sz w:val="24"/>
          <w:szCs w:val="24"/>
          <w:rtl/>
        </w:rPr>
        <w:t>ושבעל</w:t>
      </w:r>
      <w:r w:rsidR="00E7124B">
        <w:rPr>
          <w:rFonts w:cs="David" w:hint="eastAsia"/>
          <w:sz w:val="24"/>
          <w:szCs w:val="24"/>
          <w:rtl/>
        </w:rPr>
        <w:t>־</w:t>
      </w:r>
      <w:r w:rsidR="00E7124B">
        <w:rPr>
          <w:rFonts w:cs="David" w:hint="cs"/>
          <w:sz w:val="24"/>
          <w:szCs w:val="24"/>
          <w:rtl/>
        </w:rPr>
        <w:t>פה</w:t>
      </w:r>
      <w:proofErr w:type="spellEnd"/>
      <w:r w:rsidR="00E7124B">
        <w:rPr>
          <w:rFonts w:cs="David" w:hint="cs"/>
          <w:sz w:val="24"/>
          <w:szCs w:val="24"/>
          <w:rtl/>
        </w:rPr>
        <w:t xml:space="preserve"> ומטרתה היא יישום הצדק המוחלט; ומערכת שנייה המכונה 'משפט המלך'</w:t>
      </w:r>
      <w:r w:rsidR="00B5518E">
        <w:rPr>
          <w:rFonts w:cs="David" w:hint="cs"/>
          <w:sz w:val="24"/>
          <w:szCs w:val="24"/>
          <w:rtl/>
        </w:rPr>
        <w:t xml:space="preserve"> </w:t>
      </w:r>
      <w:r w:rsidR="00E7124B">
        <w:rPr>
          <w:rFonts w:cs="David"/>
          <w:sz w:val="24"/>
          <w:szCs w:val="24"/>
          <w:rtl/>
        </w:rPr>
        <w:t>–</w:t>
      </w:r>
      <w:r w:rsidR="00E7124B" w:rsidRPr="00E7124B">
        <w:rPr>
          <w:rFonts w:cs="David" w:hint="cs"/>
          <w:sz w:val="24"/>
          <w:szCs w:val="24"/>
          <w:rtl/>
        </w:rPr>
        <w:t xml:space="preserve"> </w:t>
      </w:r>
      <w:r w:rsidR="00E7124B">
        <w:rPr>
          <w:rFonts w:cs="David" w:hint="cs"/>
          <w:sz w:val="24"/>
          <w:szCs w:val="24"/>
          <w:rtl/>
        </w:rPr>
        <w:t xml:space="preserve">אף שאינה מצריכה מלך דווקא, אלא מופקדת בידי כל מי שהציבור מינה אותו </w:t>
      </w:r>
      <w:r w:rsidR="00E7124B">
        <w:rPr>
          <w:rFonts w:cs="David"/>
          <w:sz w:val="24"/>
          <w:szCs w:val="24"/>
          <w:rtl/>
        </w:rPr>
        <w:t>–</w:t>
      </w:r>
      <w:r w:rsidR="00E7124B">
        <w:rPr>
          <w:rFonts w:cs="David" w:hint="cs"/>
          <w:sz w:val="24"/>
          <w:szCs w:val="24"/>
          <w:rtl/>
        </w:rPr>
        <w:t xml:space="preserve"> ו</w:t>
      </w:r>
      <w:r w:rsidR="00B5518E">
        <w:rPr>
          <w:rFonts w:cs="David" w:hint="cs"/>
          <w:sz w:val="24"/>
          <w:szCs w:val="24"/>
          <w:rtl/>
        </w:rPr>
        <w:t>מטרתה ל</w:t>
      </w:r>
      <w:r w:rsidR="00812EB1">
        <w:rPr>
          <w:rFonts w:cs="David" w:hint="cs"/>
          <w:sz w:val="24"/>
          <w:szCs w:val="24"/>
          <w:rtl/>
        </w:rPr>
        <w:t>הסדיר את החיים החברתיים על הצד הטוב ביותר.</w:t>
      </w:r>
      <w:r w:rsidR="00812EB1" w:rsidRPr="00CE0747">
        <w:rPr>
          <w:rStyle w:val="af0"/>
          <w:rtl/>
        </w:rPr>
        <w:endnoteReference w:id="2"/>
      </w:r>
      <w:r w:rsidR="001835B9" w:rsidRPr="001835B9">
        <w:rPr>
          <w:rtl/>
        </w:rPr>
        <w:t xml:space="preserve"> </w:t>
      </w:r>
      <w:r w:rsidR="00E7124B">
        <w:rPr>
          <w:rFonts w:cs="David" w:hint="cs"/>
          <w:sz w:val="24"/>
          <w:szCs w:val="24"/>
          <w:rtl/>
        </w:rPr>
        <w:t xml:space="preserve">בעוד </w:t>
      </w:r>
      <w:r w:rsidR="00442975">
        <w:rPr>
          <w:rFonts w:cs="David" w:hint="cs"/>
          <w:sz w:val="24"/>
          <w:szCs w:val="24"/>
          <w:rtl/>
        </w:rPr>
        <w:t>מערכת השיפוט הראשונה</w:t>
      </w:r>
      <w:r w:rsidR="00E7124B">
        <w:rPr>
          <w:rFonts w:cs="David" w:hint="cs"/>
          <w:sz w:val="24"/>
          <w:szCs w:val="24"/>
          <w:rtl/>
        </w:rPr>
        <w:t xml:space="preserve"> </w:t>
      </w:r>
      <w:r w:rsidR="00442975">
        <w:rPr>
          <w:rFonts w:cs="David" w:hint="cs"/>
          <w:sz w:val="24"/>
          <w:szCs w:val="24"/>
          <w:rtl/>
        </w:rPr>
        <w:t>אינה מתחשבת בדרך כלל ברקעו ו</w:t>
      </w:r>
      <w:r w:rsidR="00E7124B">
        <w:rPr>
          <w:rFonts w:cs="David" w:hint="cs"/>
          <w:sz w:val="24"/>
          <w:szCs w:val="24"/>
          <w:rtl/>
        </w:rPr>
        <w:t>ב</w:t>
      </w:r>
      <w:r w:rsidR="00442975">
        <w:rPr>
          <w:rFonts w:cs="David" w:hint="cs"/>
          <w:sz w:val="24"/>
          <w:szCs w:val="24"/>
          <w:rtl/>
        </w:rPr>
        <w:t>אופיו של הנאשם, שכן מטרתה הראשית</w:t>
      </w:r>
      <w:r w:rsidR="00E7124B">
        <w:rPr>
          <w:rFonts w:cs="David" w:hint="cs"/>
          <w:sz w:val="24"/>
          <w:szCs w:val="24"/>
          <w:rtl/>
        </w:rPr>
        <w:t xml:space="preserve"> היא </w:t>
      </w:r>
      <w:r w:rsidR="00442975">
        <w:rPr>
          <w:rFonts w:cs="David" w:hint="cs"/>
          <w:sz w:val="24"/>
          <w:szCs w:val="24"/>
          <w:rtl/>
        </w:rPr>
        <w:t>יישום הצד</w:t>
      </w:r>
      <w:r w:rsidR="00D977F0">
        <w:rPr>
          <w:rFonts w:cs="David" w:hint="cs"/>
          <w:sz w:val="24"/>
          <w:szCs w:val="24"/>
          <w:rtl/>
        </w:rPr>
        <w:t>ק המוחלט</w:t>
      </w:r>
      <w:r w:rsidR="00E7124B">
        <w:rPr>
          <w:rFonts w:cs="David" w:hint="cs"/>
          <w:sz w:val="24"/>
          <w:szCs w:val="24"/>
          <w:rtl/>
        </w:rPr>
        <w:t>,</w:t>
      </w:r>
      <w:r w:rsidR="00D977F0" w:rsidRPr="00A66FF3">
        <w:rPr>
          <w:rStyle w:val="af0"/>
          <w:rtl/>
        </w:rPr>
        <w:endnoteReference w:id="3"/>
      </w:r>
      <w:r w:rsidR="00D977F0">
        <w:rPr>
          <w:rFonts w:cs="David" w:hint="cs"/>
          <w:sz w:val="24"/>
          <w:szCs w:val="24"/>
          <w:rtl/>
        </w:rPr>
        <w:t xml:space="preserve"> מערכת השיפוט השני</w:t>
      </w:r>
      <w:r w:rsidR="00E7124B">
        <w:rPr>
          <w:rFonts w:cs="David" w:hint="cs"/>
          <w:sz w:val="24"/>
          <w:szCs w:val="24"/>
          <w:rtl/>
        </w:rPr>
        <w:t>יה</w:t>
      </w:r>
      <w:r w:rsidR="00D977F0">
        <w:rPr>
          <w:rFonts w:cs="David" w:hint="cs"/>
          <w:sz w:val="24"/>
          <w:szCs w:val="24"/>
          <w:rtl/>
        </w:rPr>
        <w:t xml:space="preserve"> </w:t>
      </w:r>
      <w:r w:rsidR="00E7124B">
        <w:rPr>
          <w:rFonts w:cs="David" w:hint="cs"/>
          <w:sz w:val="24"/>
          <w:szCs w:val="24"/>
          <w:rtl/>
        </w:rPr>
        <w:t xml:space="preserve">שמה לנגד עיניה את תיקון החברה ולפיכך מתחשבת בשיקולים הנזכרים </w:t>
      </w:r>
      <w:r w:rsidR="00E7124B">
        <w:rPr>
          <w:rFonts w:cs="David"/>
          <w:sz w:val="24"/>
          <w:szCs w:val="24"/>
          <w:rtl/>
        </w:rPr>
        <w:t>–</w:t>
      </w:r>
      <w:r w:rsidR="00E7124B">
        <w:rPr>
          <w:rFonts w:cs="David" w:hint="cs"/>
          <w:sz w:val="24"/>
          <w:szCs w:val="24"/>
          <w:rtl/>
        </w:rPr>
        <w:t xml:space="preserve"> שכן </w:t>
      </w:r>
      <w:r w:rsidR="00301D72">
        <w:rPr>
          <w:rFonts w:cs="David" w:hint="cs"/>
          <w:sz w:val="24"/>
          <w:szCs w:val="24"/>
          <w:rtl/>
        </w:rPr>
        <w:t xml:space="preserve">פעמים רבות שתיקון </w:t>
      </w:r>
      <w:r w:rsidR="00E7124B">
        <w:rPr>
          <w:rFonts w:cs="David" w:hint="cs"/>
          <w:sz w:val="24"/>
          <w:szCs w:val="24"/>
          <w:rtl/>
        </w:rPr>
        <w:t>החברה</w:t>
      </w:r>
      <w:r w:rsidR="00301D72">
        <w:rPr>
          <w:rFonts w:cs="David" w:hint="cs"/>
          <w:sz w:val="24"/>
          <w:szCs w:val="24"/>
          <w:rtl/>
        </w:rPr>
        <w:t xml:space="preserve"> יושג דווקא על ידי שיקום החוטאים ולא </w:t>
      </w:r>
      <w:r w:rsidR="00BE0061">
        <w:rPr>
          <w:rFonts w:cs="David" w:hint="cs"/>
          <w:sz w:val="24"/>
          <w:szCs w:val="24"/>
          <w:rtl/>
        </w:rPr>
        <w:t xml:space="preserve">באמצעות </w:t>
      </w:r>
      <w:r w:rsidR="00301D72">
        <w:rPr>
          <w:rFonts w:cs="David" w:hint="cs"/>
          <w:sz w:val="24"/>
          <w:szCs w:val="24"/>
          <w:rtl/>
        </w:rPr>
        <w:t xml:space="preserve">הענשתם </w:t>
      </w:r>
      <w:r>
        <w:rPr>
          <w:rFonts w:cs="David" w:hint="cs"/>
          <w:sz w:val="24"/>
          <w:szCs w:val="24"/>
          <w:rtl/>
        </w:rPr>
        <w:t>בחומרה המֵ</w:t>
      </w:r>
      <w:r w:rsidR="00BE0061">
        <w:rPr>
          <w:rFonts w:cs="David" w:hint="cs"/>
          <w:sz w:val="24"/>
          <w:szCs w:val="24"/>
          <w:rtl/>
        </w:rPr>
        <w:t>רבית</w:t>
      </w:r>
      <w:r w:rsidR="00301D72">
        <w:rPr>
          <w:rFonts w:cs="David" w:hint="cs"/>
          <w:sz w:val="24"/>
          <w:szCs w:val="24"/>
          <w:rtl/>
        </w:rPr>
        <w:t>.</w:t>
      </w:r>
      <w:r w:rsidR="00BE0061" w:rsidRPr="00A66FF3">
        <w:rPr>
          <w:rStyle w:val="af0"/>
        </w:rPr>
        <w:endnoteReference w:id="4"/>
      </w:r>
      <w:r w:rsidR="00E7124B">
        <w:rPr>
          <w:rFonts w:cs="David" w:hint="cs"/>
          <w:sz w:val="24"/>
          <w:szCs w:val="24"/>
          <w:rtl/>
        </w:rPr>
        <w:t xml:space="preserve"> </w:t>
      </w:r>
      <w:r w:rsidR="00E7124B" w:rsidRPr="001835B9">
        <w:rPr>
          <w:rFonts w:cs="David"/>
          <w:sz w:val="24"/>
          <w:szCs w:val="24"/>
          <w:rtl/>
        </w:rPr>
        <w:t xml:space="preserve">את סמכותה של מערכת המשפט הפלילית במדינת ישראל יש לראות כמבוססת על </w:t>
      </w:r>
      <w:r w:rsidR="00E7124B">
        <w:rPr>
          <w:rFonts w:cs="David" w:hint="cs"/>
          <w:sz w:val="24"/>
          <w:szCs w:val="24"/>
          <w:rtl/>
        </w:rPr>
        <w:t>המערכת השנייה,</w:t>
      </w:r>
      <w:r w:rsidR="00E7124B" w:rsidRPr="00CE0747">
        <w:rPr>
          <w:rStyle w:val="af0"/>
          <w:rtl/>
        </w:rPr>
        <w:endnoteReference w:id="5"/>
      </w:r>
      <w:r w:rsidR="00E7124B">
        <w:rPr>
          <w:rFonts w:cs="David" w:hint="cs"/>
          <w:sz w:val="24"/>
          <w:szCs w:val="24"/>
          <w:rtl/>
        </w:rPr>
        <w:t xml:space="preserve"> ולפיכך יש בה מקום להתחשבות באופי הנאשם וברקע האישי שלו.</w:t>
      </w:r>
    </w:p>
    <w:p w14:paraId="4AC6CB69" w14:textId="77777777" w:rsidR="001835B9" w:rsidRDefault="00A66FF3" w:rsidP="00A66FF3">
      <w:pPr>
        <w:spacing w:after="240" w:line="360" w:lineRule="auto"/>
        <w:jc w:val="both"/>
        <w:rPr>
          <w:rFonts w:cs="David"/>
          <w:b/>
          <w:bCs/>
          <w:sz w:val="24"/>
          <w:szCs w:val="24"/>
        </w:rPr>
      </w:pPr>
      <w:r>
        <w:rPr>
          <w:rFonts w:cs="David" w:hint="cs"/>
          <w:b/>
          <w:bCs/>
          <w:sz w:val="24"/>
          <w:szCs w:val="24"/>
          <w:rtl/>
        </w:rPr>
        <w:t xml:space="preserve">2. </w:t>
      </w:r>
      <w:r w:rsidR="001835B9">
        <w:rPr>
          <w:rFonts w:cs="David" w:hint="cs"/>
          <w:b/>
          <w:bCs/>
          <w:sz w:val="24"/>
          <w:szCs w:val="24"/>
          <w:rtl/>
        </w:rPr>
        <w:t>ערך השוויון בפני החוק</w:t>
      </w:r>
      <w:r w:rsidR="001835B9">
        <w:rPr>
          <w:rFonts w:cs="David" w:hint="cs"/>
          <w:sz w:val="24"/>
          <w:szCs w:val="24"/>
          <w:rtl/>
        </w:rPr>
        <w:t xml:space="preserve"> </w:t>
      </w:r>
      <w:r>
        <w:rPr>
          <w:rFonts w:cs="David"/>
          <w:sz w:val="24"/>
          <w:szCs w:val="24"/>
          <w:rtl/>
        </w:rPr>
        <w:t>–</w:t>
      </w:r>
      <w:r>
        <w:rPr>
          <w:rFonts w:cs="David" w:hint="cs"/>
          <w:sz w:val="24"/>
          <w:szCs w:val="24"/>
          <w:rtl/>
        </w:rPr>
        <w:t xml:space="preserve"> </w:t>
      </w:r>
      <w:r w:rsidR="001835B9">
        <w:rPr>
          <w:rFonts w:cs="David" w:hint="cs"/>
          <w:sz w:val="24"/>
          <w:szCs w:val="24"/>
          <w:rtl/>
        </w:rPr>
        <w:t>ה</w:t>
      </w:r>
      <w:r w:rsidR="00A120F0">
        <w:rPr>
          <w:rFonts w:cs="David" w:hint="cs"/>
          <w:sz w:val="24"/>
          <w:szCs w:val="24"/>
          <w:rtl/>
        </w:rPr>
        <w:t>הלכה דוגלת בשוויון בפני החוק ובנקיטת הליכים משפטיים שווים כלפי כל בני הארץ</w:t>
      </w:r>
      <w:r w:rsidR="00E7124B">
        <w:rPr>
          <w:rFonts w:cs="David" w:hint="cs"/>
          <w:sz w:val="24"/>
          <w:szCs w:val="24"/>
          <w:rtl/>
        </w:rPr>
        <w:t xml:space="preserve">, </w:t>
      </w:r>
      <w:r>
        <w:rPr>
          <w:rFonts w:cs="David" w:hint="cs"/>
          <w:sz w:val="24"/>
          <w:szCs w:val="24"/>
          <w:rtl/>
        </w:rPr>
        <w:t>כלשון המקרא:</w:t>
      </w:r>
      <w:r w:rsidR="00A120F0">
        <w:rPr>
          <w:rFonts w:cs="David" w:hint="cs"/>
          <w:sz w:val="24"/>
          <w:szCs w:val="24"/>
          <w:rtl/>
        </w:rPr>
        <w:t xml:space="preserve"> </w:t>
      </w:r>
      <w:r w:rsidR="00032D4E">
        <w:rPr>
          <w:rFonts w:cs="David" w:hint="cs"/>
          <w:sz w:val="24"/>
          <w:szCs w:val="24"/>
          <w:rtl/>
        </w:rPr>
        <w:t>"</w:t>
      </w:r>
      <w:r w:rsidR="00E7124B">
        <w:rPr>
          <w:rFonts w:cs="David"/>
          <w:sz w:val="24"/>
          <w:szCs w:val="24"/>
          <w:rtl/>
        </w:rPr>
        <w:t>לא תכירו פנים במשפט</w:t>
      </w:r>
      <w:r w:rsidR="00E7124B">
        <w:rPr>
          <w:rFonts w:cs="David" w:hint="cs"/>
          <w:sz w:val="24"/>
          <w:szCs w:val="24"/>
          <w:rtl/>
        </w:rPr>
        <w:t>,</w:t>
      </w:r>
      <w:r w:rsidR="00E7124B">
        <w:rPr>
          <w:rFonts w:cs="David"/>
          <w:sz w:val="24"/>
          <w:szCs w:val="24"/>
          <w:rtl/>
        </w:rPr>
        <w:t xml:space="preserve"> כ</w:t>
      </w:r>
      <w:r w:rsidR="00E7124B">
        <w:rPr>
          <w:rFonts w:cs="David" w:hint="cs"/>
          <w:sz w:val="24"/>
          <w:szCs w:val="24"/>
          <w:rtl/>
        </w:rPr>
        <w:t>ַּ</w:t>
      </w:r>
      <w:r w:rsidR="00E7124B">
        <w:rPr>
          <w:rFonts w:cs="David"/>
          <w:sz w:val="24"/>
          <w:szCs w:val="24"/>
          <w:rtl/>
        </w:rPr>
        <w:t>ק</w:t>
      </w:r>
      <w:r w:rsidR="00E7124B">
        <w:rPr>
          <w:rFonts w:cs="David" w:hint="cs"/>
          <w:sz w:val="24"/>
          <w:szCs w:val="24"/>
          <w:rtl/>
        </w:rPr>
        <w:t>ָּ</w:t>
      </w:r>
      <w:r w:rsidR="00E7124B">
        <w:rPr>
          <w:rFonts w:cs="David"/>
          <w:sz w:val="24"/>
          <w:szCs w:val="24"/>
          <w:rtl/>
        </w:rPr>
        <w:t>ט</w:t>
      </w:r>
      <w:r w:rsidR="00E7124B">
        <w:rPr>
          <w:rFonts w:cs="David" w:hint="cs"/>
          <w:sz w:val="24"/>
          <w:szCs w:val="24"/>
          <w:rtl/>
        </w:rPr>
        <w:t>ֹ</w:t>
      </w:r>
      <w:r w:rsidR="00E7124B">
        <w:rPr>
          <w:rFonts w:cs="David"/>
          <w:sz w:val="24"/>
          <w:szCs w:val="24"/>
          <w:rtl/>
        </w:rPr>
        <w:t>ן כ</w:t>
      </w:r>
      <w:r w:rsidR="00E7124B">
        <w:rPr>
          <w:rFonts w:cs="David" w:hint="cs"/>
          <w:sz w:val="24"/>
          <w:szCs w:val="24"/>
          <w:rtl/>
        </w:rPr>
        <w:t>ַּ</w:t>
      </w:r>
      <w:r w:rsidR="00E7124B">
        <w:rPr>
          <w:rFonts w:cs="David"/>
          <w:sz w:val="24"/>
          <w:szCs w:val="24"/>
          <w:rtl/>
        </w:rPr>
        <w:t>ג</w:t>
      </w:r>
      <w:r w:rsidR="00E7124B">
        <w:rPr>
          <w:rFonts w:cs="David" w:hint="cs"/>
          <w:sz w:val="24"/>
          <w:szCs w:val="24"/>
          <w:rtl/>
        </w:rPr>
        <w:t>ָּ</w:t>
      </w:r>
      <w:r w:rsidR="00E7124B">
        <w:rPr>
          <w:rFonts w:cs="David"/>
          <w:sz w:val="24"/>
          <w:szCs w:val="24"/>
          <w:rtl/>
        </w:rPr>
        <w:t>ד</w:t>
      </w:r>
      <w:r w:rsidR="00E7124B">
        <w:rPr>
          <w:rFonts w:cs="David" w:hint="cs"/>
          <w:sz w:val="24"/>
          <w:szCs w:val="24"/>
          <w:rtl/>
        </w:rPr>
        <w:t>ֹ</w:t>
      </w:r>
      <w:r w:rsidR="00032D4E" w:rsidRPr="00032D4E">
        <w:rPr>
          <w:rFonts w:cs="David"/>
          <w:sz w:val="24"/>
          <w:szCs w:val="24"/>
          <w:rtl/>
        </w:rPr>
        <w:t>ל תשמעו</w:t>
      </w:r>
      <w:r w:rsidR="00E7124B">
        <w:rPr>
          <w:rFonts w:cs="David" w:hint="cs"/>
          <w:sz w:val="24"/>
          <w:szCs w:val="24"/>
          <w:rtl/>
        </w:rPr>
        <w:t>ּ</w:t>
      </w:r>
      <w:r w:rsidR="00032D4E" w:rsidRPr="00032D4E">
        <w:rPr>
          <w:rFonts w:cs="David"/>
          <w:sz w:val="24"/>
          <w:szCs w:val="24"/>
          <w:rtl/>
        </w:rPr>
        <w:t>ן</w:t>
      </w:r>
      <w:r w:rsidR="00E7124B">
        <w:rPr>
          <w:rFonts w:cs="David" w:hint="cs"/>
          <w:sz w:val="24"/>
          <w:szCs w:val="24"/>
          <w:rtl/>
        </w:rPr>
        <w:t>,</w:t>
      </w:r>
      <w:r w:rsidR="00032D4E" w:rsidRPr="00032D4E">
        <w:rPr>
          <w:rFonts w:cs="David"/>
          <w:sz w:val="24"/>
          <w:szCs w:val="24"/>
          <w:rtl/>
        </w:rPr>
        <w:t xml:space="preserve"> לא תגורו מפני איש כי המשפט </w:t>
      </w:r>
      <w:proofErr w:type="spellStart"/>
      <w:r w:rsidR="00032D4E" w:rsidRPr="00032D4E">
        <w:rPr>
          <w:rFonts w:cs="David"/>
          <w:sz w:val="24"/>
          <w:szCs w:val="24"/>
          <w:rtl/>
        </w:rPr>
        <w:t>לא</w:t>
      </w:r>
      <w:r>
        <w:rPr>
          <w:rFonts w:cs="David" w:hint="eastAsia"/>
          <w:sz w:val="24"/>
          <w:szCs w:val="24"/>
          <w:rtl/>
        </w:rPr>
        <w:t>־</w:t>
      </w:r>
      <w:r w:rsidR="00032D4E" w:rsidRPr="00032D4E">
        <w:rPr>
          <w:rFonts w:cs="David"/>
          <w:sz w:val="24"/>
          <w:szCs w:val="24"/>
          <w:rtl/>
        </w:rPr>
        <w:t>ל</w:t>
      </w:r>
      <w:r>
        <w:rPr>
          <w:rFonts w:cs="David" w:hint="cs"/>
          <w:sz w:val="24"/>
          <w:szCs w:val="24"/>
          <w:rtl/>
        </w:rPr>
        <w:t>ֹ</w:t>
      </w:r>
      <w:r w:rsidR="00032D4E" w:rsidRPr="00032D4E">
        <w:rPr>
          <w:rFonts w:cs="David"/>
          <w:sz w:val="24"/>
          <w:szCs w:val="24"/>
          <w:rtl/>
        </w:rPr>
        <w:t>הים</w:t>
      </w:r>
      <w:proofErr w:type="spellEnd"/>
      <w:r w:rsidR="00032D4E" w:rsidRPr="00032D4E">
        <w:rPr>
          <w:rFonts w:cs="David"/>
          <w:sz w:val="24"/>
          <w:szCs w:val="24"/>
          <w:rtl/>
        </w:rPr>
        <w:t xml:space="preserve"> הוא</w:t>
      </w:r>
      <w:r w:rsidR="008B5FE8">
        <w:rPr>
          <w:rFonts w:cs="David" w:hint="cs"/>
          <w:sz w:val="24"/>
          <w:szCs w:val="24"/>
          <w:rtl/>
        </w:rPr>
        <w:t>"</w:t>
      </w:r>
      <w:r w:rsidR="00032D4E" w:rsidRPr="00032D4E">
        <w:rPr>
          <w:rFonts w:cs="David"/>
          <w:sz w:val="24"/>
          <w:szCs w:val="24"/>
          <w:rtl/>
        </w:rPr>
        <w:t xml:space="preserve"> (דברים א,</w:t>
      </w:r>
      <w:r w:rsidR="00E7124B">
        <w:rPr>
          <w:rFonts w:cs="David" w:hint="cs"/>
          <w:sz w:val="24"/>
          <w:szCs w:val="24"/>
          <w:rtl/>
        </w:rPr>
        <w:t xml:space="preserve"> </w:t>
      </w:r>
      <w:proofErr w:type="spellStart"/>
      <w:r w:rsidR="00032D4E" w:rsidRPr="00032D4E">
        <w:rPr>
          <w:rFonts w:cs="David"/>
          <w:sz w:val="24"/>
          <w:szCs w:val="24"/>
          <w:rtl/>
        </w:rPr>
        <w:t>טז</w:t>
      </w:r>
      <w:proofErr w:type="spellEnd"/>
      <w:r w:rsidR="00032D4E" w:rsidRPr="00032D4E">
        <w:rPr>
          <w:rFonts w:cs="David"/>
          <w:sz w:val="24"/>
          <w:szCs w:val="24"/>
          <w:rtl/>
        </w:rPr>
        <w:t>)</w:t>
      </w:r>
      <w:r w:rsidR="00F56111">
        <w:rPr>
          <w:rFonts w:cs="David" w:hint="cs"/>
          <w:sz w:val="24"/>
          <w:szCs w:val="24"/>
          <w:rtl/>
        </w:rPr>
        <w:t>.</w:t>
      </w:r>
      <w:r w:rsidR="00F56111" w:rsidRPr="00A66FF3">
        <w:rPr>
          <w:rStyle w:val="af0"/>
        </w:rPr>
        <w:endnoteReference w:id="6"/>
      </w:r>
      <w:r>
        <w:rPr>
          <w:rFonts w:cs="David" w:hint="cs"/>
          <w:sz w:val="24"/>
          <w:szCs w:val="24"/>
          <w:rtl/>
        </w:rPr>
        <w:t xml:space="preserve"> השוואה בין דינם של חיילים לבין דינם של </w:t>
      </w:r>
      <w:r w:rsidR="00F56111">
        <w:rPr>
          <w:rFonts w:cs="David" w:hint="cs"/>
          <w:sz w:val="24"/>
          <w:szCs w:val="24"/>
          <w:rtl/>
        </w:rPr>
        <w:t>אזרחים עולה בקנה אחד עם ערך זה.</w:t>
      </w:r>
    </w:p>
    <w:p w14:paraId="47765429" w14:textId="77777777" w:rsidR="00B67482" w:rsidRPr="00E7124B" w:rsidRDefault="00A66FF3" w:rsidP="00E7124B">
      <w:pPr>
        <w:spacing w:line="360" w:lineRule="auto"/>
        <w:jc w:val="both"/>
        <w:rPr>
          <w:rFonts w:cs="David"/>
          <w:sz w:val="24"/>
          <w:szCs w:val="24"/>
        </w:rPr>
      </w:pPr>
      <w:r>
        <w:rPr>
          <w:rFonts w:cs="David" w:hint="cs"/>
          <w:b/>
          <w:bCs/>
          <w:sz w:val="24"/>
          <w:szCs w:val="24"/>
          <w:rtl/>
        </w:rPr>
        <w:t xml:space="preserve">3. </w:t>
      </w:r>
      <w:r w:rsidR="00555DD7">
        <w:rPr>
          <w:rFonts w:cs="David" w:hint="cs"/>
          <w:b/>
          <w:bCs/>
          <w:sz w:val="24"/>
          <w:szCs w:val="24"/>
          <w:rtl/>
        </w:rPr>
        <w:t>היחס התורני ל</w:t>
      </w:r>
      <w:r w:rsidR="005C1B80">
        <w:rPr>
          <w:rFonts w:cs="David" w:hint="cs"/>
          <w:b/>
          <w:bCs/>
          <w:sz w:val="24"/>
          <w:szCs w:val="24"/>
          <w:rtl/>
        </w:rPr>
        <w:t>עבירה</w:t>
      </w:r>
      <w:r w:rsidR="00555DD7">
        <w:rPr>
          <w:rFonts w:cs="David" w:hint="cs"/>
          <w:b/>
          <w:bCs/>
          <w:sz w:val="24"/>
          <w:szCs w:val="24"/>
          <w:rtl/>
        </w:rPr>
        <w:t xml:space="preserve"> בעת שירות</w:t>
      </w:r>
      <w:r w:rsidR="00C50EF0">
        <w:rPr>
          <w:rFonts w:cs="David" w:hint="cs"/>
          <w:b/>
          <w:bCs/>
          <w:sz w:val="24"/>
          <w:szCs w:val="24"/>
          <w:rtl/>
        </w:rPr>
        <w:t xml:space="preserve"> </w:t>
      </w:r>
      <w:r w:rsidR="005C1B80">
        <w:rPr>
          <w:rFonts w:cs="David" w:hint="cs"/>
          <w:b/>
          <w:bCs/>
          <w:sz w:val="24"/>
          <w:szCs w:val="24"/>
          <w:rtl/>
        </w:rPr>
        <w:t xml:space="preserve">צבאי </w:t>
      </w:r>
      <w:r w:rsidR="00C50EF0">
        <w:rPr>
          <w:rFonts w:cs="David" w:hint="cs"/>
          <w:b/>
          <w:bCs/>
          <w:sz w:val="24"/>
          <w:szCs w:val="24"/>
          <w:rtl/>
        </w:rPr>
        <w:t>ובהקשר אליו</w:t>
      </w:r>
      <w:r w:rsidR="00B67482" w:rsidRPr="00631452">
        <w:rPr>
          <w:rFonts w:cs="David"/>
          <w:sz w:val="24"/>
          <w:szCs w:val="24"/>
          <w:rtl/>
        </w:rPr>
        <w:t xml:space="preserve"> </w:t>
      </w:r>
      <w:r>
        <w:rPr>
          <w:rFonts w:cs="David"/>
          <w:sz w:val="24"/>
          <w:szCs w:val="24"/>
          <w:rtl/>
        </w:rPr>
        <w:t>–</w:t>
      </w:r>
      <w:r>
        <w:rPr>
          <w:rFonts w:cs="David" w:hint="cs"/>
          <w:sz w:val="24"/>
          <w:szCs w:val="24"/>
          <w:rtl/>
        </w:rPr>
        <w:t xml:space="preserve"> </w:t>
      </w:r>
      <w:r w:rsidR="00555DD7">
        <w:rPr>
          <w:rFonts w:cs="David" w:hint="cs"/>
          <w:sz w:val="24"/>
          <w:szCs w:val="24"/>
          <w:rtl/>
        </w:rPr>
        <w:t xml:space="preserve">בהלכה אנו מוצאים יחס מוסרי כפול כלפי חיילים. </w:t>
      </w:r>
      <w:proofErr w:type="spellStart"/>
      <w:r w:rsidR="00555DD7">
        <w:rPr>
          <w:rFonts w:cs="David" w:hint="cs"/>
          <w:sz w:val="24"/>
          <w:szCs w:val="24"/>
          <w:rtl/>
        </w:rPr>
        <w:t>מח</w:t>
      </w:r>
      <w:r>
        <w:rPr>
          <w:rFonts w:cs="David" w:hint="cs"/>
          <w:sz w:val="24"/>
          <w:szCs w:val="24"/>
          <w:rtl/>
        </w:rPr>
        <w:t>ד</w:t>
      </w:r>
      <w:r>
        <w:rPr>
          <w:rFonts w:cs="David" w:hint="eastAsia"/>
          <w:sz w:val="24"/>
          <w:szCs w:val="24"/>
          <w:rtl/>
        </w:rPr>
        <w:t>־גיסא</w:t>
      </w:r>
      <w:proofErr w:type="spellEnd"/>
      <w:r w:rsidR="00555DD7">
        <w:rPr>
          <w:rFonts w:cs="David" w:hint="cs"/>
          <w:sz w:val="24"/>
          <w:szCs w:val="24"/>
          <w:rtl/>
        </w:rPr>
        <w:t xml:space="preserve">, התורה דורשת מהם רמה מוסרית גבוהה </w:t>
      </w:r>
      <w:proofErr w:type="spellStart"/>
      <w:r w:rsidR="00555DD7">
        <w:rPr>
          <w:rFonts w:cs="David" w:hint="cs"/>
          <w:sz w:val="24"/>
          <w:szCs w:val="24"/>
          <w:rtl/>
        </w:rPr>
        <w:t>לא</w:t>
      </w:r>
      <w:r w:rsidR="00E7124B">
        <w:rPr>
          <w:rFonts w:cs="David" w:hint="eastAsia"/>
          <w:sz w:val="24"/>
          <w:szCs w:val="24"/>
          <w:rtl/>
        </w:rPr>
        <w:t>־</w:t>
      </w:r>
      <w:r w:rsidR="00E7124B">
        <w:rPr>
          <w:rFonts w:cs="David" w:hint="cs"/>
          <w:sz w:val="24"/>
          <w:szCs w:val="24"/>
          <w:rtl/>
        </w:rPr>
        <w:t>פחות</w:t>
      </w:r>
      <w:proofErr w:type="spellEnd"/>
      <w:r w:rsidR="00E7124B">
        <w:rPr>
          <w:rFonts w:cs="David" w:hint="cs"/>
          <w:sz w:val="24"/>
          <w:szCs w:val="24"/>
          <w:rtl/>
        </w:rPr>
        <w:t xml:space="preserve"> ואפילו יותר</w:t>
      </w:r>
      <w:r w:rsidR="00555DD7">
        <w:rPr>
          <w:rFonts w:cs="David" w:hint="cs"/>
          <w:sz w:val="24"/>
          <w:szCs w:val="24"/>
          <w:rtl/>
        </w:rPr>
        <w:t xml:space="preserve"> מאשר אחיהם האזרחים</w:t>
      </w:r>
      <w:r w:rsidR="00E7124B">
        <w:rPr>
          <w:rFonts w:cs="David" w:hint="cs"/>
          <w:sz w:val="24"/>
          <w:szCs w:val="24"/>
          <w:rtl/>
        </w:rPr>
        <w:t>, ומסיבה זו</w:t>
      </w:r>
      <w:r w:rsidR="00AA4ED2">
        <w:rPr>
          <w:rFonts w:cs="David" w:hint="cs"/>
          <w:sz w:val="24"/>
          <w:szCs w:val="24"/>
          <w:rtl/>
        </w:rPr>
        <w:t xml:space="preserve"> דווקא לגבי המחנה הצבאי </w:t>
      </w:r>
      <w:r w:rsidR="00E7124B">
        <w:rPr>
          <w:rFonts w:cs="David" w:hint="cs"/>
          <w:sz w:val="24"/>
          <w:szCs w:val="24"/>
          <w:rtl/>
        </w:rPr>
        <w:t xml:space="preserve">נאמר "והיה מחניך קדוש" (דברים </w:t>
      </w:r>
      <w:proofErr w:type="spellStart"/>
      <w:r w:rsidR="00E7124B">
        <w:rPr>
          <w:rFonts w:cs="David" w:hint="cs"/>
          <w:sz w:val="24"/>
          <w:szCs w:val="24"/>
          <w:rtl/>
        </w:rPr>
        <w:t>כ</w:t>
      </w:r>
      <w:r w:rsidR="00AA4ED2">
        <w:rPr>
          <w:rFonts w:cs="David" w:hint="cs"/>
          <w:sz w:val="24"/>
          <w:szCs w:val="24"/>
          <w:rtl/>
        </w:rPr>
        <w:t>ג</w:t>
      </w:r>
      <w:proofErr w:type="spellEnd"/>
      <w:r w:rsidR="00AA4ED2">
        <w:rPr>
          <w:rFonts w:cs="David" w:hint="cs"/>
          <w:sz w:val="24"/>
          <w:szCs w:val="24"/>
          <w:rtl/>
        </w:rPr>
        <w:t>,</w:t>
      </w:r>
      <w:r w:rsidR="00E7124B">
        <w:rPr>
          <w:rFonts w:cs="David" w:hint="cs"/>
          <w:sz w:val="24"/>
          <w:szCs w:val="24"/>
          <w:rtl/>
        </w:rPr>
        <w:t xml:space="preserve"> </w:t>
      </w:r>
      <w:r w:rsidR="00AA4ED2">
        <w:rPr>
          <w:rFonts w:cs="David" w:hint="cs"/>
          <w:sz w:val="24"/>
          <w:szCs w:val="24"/>
          <w:rtl/>
        </w:rPr>
        <w:t>טו)</w:t>
      </w:r>
      <w:r w:rsidR="00555DD7">
        <w:rPr>
          <w:rFonts w:cs="David" w:hint="cs"/>
          <w:sz w:val="24"/>
          <w:szCs w:val="24"/>
          <w:rtl/>
        </w:rPr>
        <w:t xml:space="preserve">. </w:t>
      </w:r>
      <w:proofErr w:type="spellStart"/>
      <w:r w:rsidR="00AA4ED2">
        <w:rPr>
          <w:rFonts w:cs="David" w:hint="cs"/>
          <w:sz w:val="24"/>
          <w:szCs w:val="24"/>
          <w:rtl/>
        </w:rPr>
        <w:t>מאידך</w:t>
      </w:r>
      <w:r>
        <w:rPr>
          <w:rFonts w:cs="David" w:hint="eastAsia"/>
          <w:sz w:val="24"/>
          <w:szCs w:val="24"/>
          <w:rtl/>
        </w:rPr>
        <w:t>־ג</w:t>
      </w:r>
      <w:r>
        <w:rPr>
          <w:rFonts w:cs="David" w:hint="cs"/>
          <w:sz w:val="24"/>
          <w:szCs w:val="24"/>
          <w:rtl/>
        </w:rPr>
        <w:t>יסא</w:t>
      </w:r>
      <w:proofErr w:type="spellEnd"/>
      <w:r w:rsidR="00E7124B">
        <w:rPr>
          <w:rFonts w:cs="David" w:hint="cs"/>
          <w:sz w:val="24"/>
          <w:szCs w:val="24"/>
          <w:rtl/>
        </w:rPr>
        <w:t>, בנושאים שונים הקֵ</w:t>
      </w:r>
      <w:r w:rsidR="00AA4ED2">
        <w:rPr>
          <w:rFonts w:cs="David" w:hint="cs"/>
          <w:sz w:val="24"/>
          <w:szCs w:val="24"/>
          <w:rtl/>
        </w:rPr>
        <w:t>לה ה</w:t>
      </w:r>
      <w:r w:rsidR="00734A35">
        <w:rPr>
          <w:rFonts w:cs="David" w:hint="cs"/>
          <w:sz w:val="24"/>
          <w:szCs w:val="24"/>
          <w:rtl/>
        </w:rPr>
        <w:t>הלכה</w:t>
      </w:r>
      <w:r w:rsidR="00E7124B">
        <w:rPr>
          <w:rFonts w:cs="David" w:hint="cs"/>
          <w:sz w:val="24"/>
          <w:szCs w:val="24"/>
          <w:rtl/>
        </w:rPr>
        <w:t xml:space="preserve"> עם </w:t>
      </w:r>
      <w:r w:rsidR="00AA4ED2">
        <w:rPr>
          <w:rFonts w:cs="David" w:hint="cs"/>
          <w:sz w:val="24"/>
          <w:szCs w:val="24"/>
          <w:rtl/>
        </w:rPr>
        <w:t xml:space="preserve">חיילים אף מעבר </w:t>
      </w:r>
      <w:r w:rsidR="00D521ED">
        <w:rPr>
          <w:rFonts w:cs="David" w:hint="cs"/>
          <w:sz w:val="24"/>
          <w:szCs w:val="24"/>
          <w:rtl/>
        </w:rPr>
        <w:t xml:space="preserve">לצרכים המבצעיים </w:t>
      </w:r>
      <w:proofErr w:type="spellStart"/>
      <w:r w:rsidR="00D521ED">
        <w:rPr>
          <w:rFonts w:cs="David" w:hint="cs"/>
          <w:sz w:val="24"/>
          <w:szCs w:val="24"/>
          <w:rtl/>
        </w:rPr>
        <w:t>המי</w:t>
      </w:r>
      <w:r w:rsidR="00E7124B">
        <w:rPr>
          <w:rFonts w:cs="David" w:hint="cs"/>
          <w:sz w:val="24"/>
          <w:szCs w:val="24"/>
          <w:rtl/>
        </w:rPr>
        <w:t>י</w:t>
      </w:r>
      <w:r w:rsidR="00D521ED">
        <w:rPr>
          <w:rFonts w:cs="David" w:hint="cs"/>
          <w:sz w:val="24"/>
          <w:szCs w:val="24"/>
          <w:rtl/>
        </w:rPr>
        <w:t>דיים</w:t>
      </w:r>
      <w:proofErr w:type="spellEnd"/>
      <w:r w:rsidR="00E7124B">
        <w:rPr>
          <w:rFonts w:cs="David" w:hint="cs"/>
          <w:sz w:val="24"/>
          <w:szCs w:val="24"/>
          <w:rtl/>
        </w:rPr>
        <w:t xml:space="preserve"> </w:t>
      </w:r>
      <w:r w:rsidR="00E7124B">
        <w:rPr>
          <w:rFonts w:cs="David"/>
          <w:sz w:val="24"/>
          <w:szCs w:val="24"/>
          <w:rtl/>
        </w:rPr>
        <w:t>–</w:t>
      </w:r>
      <w:r w:rsidR="00E7124B">
        <w:rPr>
          <w:rFonts w:cs="David" w:hint="cs"/>
          <w:sz w:val="24"/>
          <w:szCs w:val="24"/>
          <w:rtl/>
        </w:rPr>
        <w:t xml:space="preserve"> הן בדיני תורה, הן בדברי חכמים</w:t>
      </w:r>
      <w:r w:rsidR="00D521ED">
        <w:rPr>
          <w:rFonts w:cs="David" w:hint="cs"/>
          <w:sz w:val="24"/>
          <w:szCs w:val="24"/>
          <w:rtl/>
        </w:rPr>
        <w:t>.</w:t>
      </w:r>
      <w:r w:rsidR="00D521ED" w:rsidRPr="00E7124B">
        <w:rPr>
          <w:rStyle w:val="af0"/>
          <w:rtl/>
        </w:rPr>
        <w:endnoteReference w:id="7"/>
      </w:r>
      <w:r w:rsidR="00E7124B">
        <w:rPr>
          <w:rFonts w:cs="David" w:hint="cs"/>
          <w:sz w:val="24"/>
          <w:szCs w:val="24"/>
          <w:rtl/>
        </w:rPr>
        <w:t xml:space="preserve"> נראה כי הבסיס לחומרה</w:t>
      </w:r>
      <w:r w:rsidR="00D521ED">
        <w:rPr>
          <w:rFonts w:cs="David" w:hint="cs"/>
          <w:sz w:val="24"/>
          <w:szCs w:val="24"/>
          <w:rtl/>
        </w:rPr>
        <w:t xml:space="preserve"> </w:t>
      </w:r>
      <w:proofErr w:type="spellStart"/>
      <w:r w:rsidR="00D521ED">
        <w:rPr>
          <w:rFonts w:cs="David" w:hint="cs"/>
          <w:sz w:val="24"/>
          <w:szCs w:val="24"/>
          <w:rtl/>
        </w:rPr>
        <w:t>ולקולא</w:t>
      </w:r>
      <w:proofErr w:type="spellEnd"/>
      <w:r w:rsidR="00D521ED">
        <w:rPr>
          <w:rFonts w:cs="David" w:hint="cs"/>
          <w:sz w:val="24"/>
          <w:szCs w:val="24"/>
          <w:rtl/>
        </w:rPr>
        <w:t xml:space="preserve"> זהה</w:t>
      </w:r>
      <w:r w:rsidR="00E7124B">
        <w:rPr>
          <w:rFonts w:cs="David" w:hint="cs"/>
          <w:sz w:val="24"/>
          <w:szCs w:val="24"/>
          <w:rtl/>
        </w:rPr>
        <w:t>:</w:t>
      </w:r>
      <w:r w:rsidR="00734A35">
        <w:rPr>
          <w:rFonts w:cs="David" w:hint="cs"/>
          <w:sz w:val="24"/>
          <w:szCs w:val="24"/>
          <w:rtl/>
        </w:rPr>
        <w:t xml:space="preserve"> הכרת </w:t>
      </w:r>
      <w:r w:rsidR="00E7124B">
        <w:rPr>
          <w:rFonts w:cs="David" w:hint="cs"/>
          <w:sz w:val="24"/>
          <w:szCs w:val="24"/>
          <w:rtl/>
        </w:rPr>
        <w:t>התורה באופיו המיוחד של השירות הצבאי</w:t>
      </w:r>
      <w:r w:rsidR="00734A35">
        <w:rPr>
          <w:rFonts w:cs="David" w:hint="cs"/>
          <w:sz w:val="24"/>
          <w:szCs w:val="24"/>
          <w:rtl/>
        </w:rPr>
        <w:t xml:space="preserve"> ובסכנות הקשות </w:t>
      </w:r>
      <w:r w:rsidR="00E7124B">
        <w:rPr>
          <w:rFonts w:cs="David" w:hint="cs"/>
          <w:sz w:val="24"/>
          <w:szCs w:val="24"/>
          <w:rtl/>
        </w:rPr>
        <w:t>האורבות ל</w:t>
      </w:r>
      <w:r w:rsidR="00734A35">
        <w:rPr>
          <w:rFonts w:cs="David" w:hint="cs"/>
          <w:sz w:val="24"/>
          <w:szCs w:val="24"/>
          <w:rtl/>
        </w:rPr>
        <w:t>אדם אשר נאלץ לפעול כנגד הצו המוסרי הבסיסי בי</w:t>
      </w:r>
      <w:r w:rsidR="00E7124B">
        <w:rPr>
          <w:rFonts w:cs="David" w:hint="cs"/>
          <w:sz w:val="24"/>
          <w:szCs w:val="24"/>
          <w:rtl/>
        </w:rPr>
        <w:t xml:space="preserve">ותר, איסור ההריגה. </w:t>
      </w:r>
      <w:proofErr w:type="spellStart"/>
      <w:r w:rsidR="00E7124B">
        <w:rPr>
          <w:rFonts w:cs="David" w:hint="cs"/>
          <w:sz w:val="24"/>
          <w:szCs w:val="24"/>
          <w:rtl/>
        </w:rPr>
        <w:t>מחד־גיסא</w:t>
      </w:r>
      <w:proofErr w:type="spellEnd"/>
      <w:r w:rsidR="00E7124B">
        <w:rPr>
          <w:rFonts w:cs="David" w:hint="cs"/>
          <w:sz w:val="24"/>
          <w:szCs w:val="24"/>
          <w:rtl/>
        </w:rPr>
        <w:t xml:space="preserve"> דורשת הכרה זו את</w:t>
      </w:r>
      <w:r w:rsidR="00734A35">
        <w:rPr>
          <w:rFonts w:cs="David" w:hint="cs"/>
          <w:sz w:val="24"/>
          <w:szCs w:val="24"/>
          <w:rtl/>
        </w:rPr>
        <w:t xml:space="preserve"> הצבת</w:t>
      </w:r>
      <w:r w:rsidR="00E7124B">
        <w:rPr>
          <w:rFonts w:cs="David" w:hint="cs"/>
          <w:sz w:val="24"/>
          <w:szCs w:val="24"/>
          <w:rtl/>
        </w:rPr>
        <w:t>ו</w:t>
      </w:r>
      <w:r w:rsidR="00734A35">
        <w:rPr>
          <w:rFonts w:cs="David" w:hint="cs"/>
          <w:sz w:val="24"/>
          <w:szCs w:val="24"/>
          <w:rtl/>
        </w:rPr>
        <w:t xml:space="preserve"> </w:t>
      </w:r>
      <w:r w:rsidR="00E7124B">
        <w:rPr>
          <w:rFonts w:cs="David" w:hint="cs"/>
          <w:sz w:val="24"/>
          <w:szCs w:val="24"/>
          <w:rtl/>
        </w:rPr>
        <w:t xml:space="preserve">של </w:t>
      </w:r>
      <w:r w:rsidR="00734A35">
        <w:rPr>
          <w:rFonts w:cs="David" w:hint="cs"/>
          <w:sz w:val="24"/>
          <w:szCs w:val="24"/>
          <w:rtl/>
        </w:rPr>
        <w:t xml:space="preserve">רף </w:t>
      </w:r>
      <w:r w:rsidR="00E7124B">
        <w:rPr>
          <w:rFonts w:cs="David" w:hint="cs"/>
          <w:sz w:val="24"/>
          <w:szCs w:val="24"/>
          <w:rtl/>
        </w:rPr>
        <w:t xml:space="preserve">מוסרי </w:t>
      </w:r>
      <w:r w:rsidR="00734A35">
        <w:rPr>
          <w:rFonts w:cs="David" w:hint="cs"/>
          <w:sz w:val="24"/>
          <w:szCs w:val="24"/>
          <w:rtl/>
        </w:rPr>
        <w:t xml:space="preserve">גבוה ביותר, "ונשמרת מכל דבר רע" </w:t>
      </w:r>
      <w:r w:rsidR="00E7124B">
        <w:rPr>
          <w:rFonts w:cs="David" w:hint="cs"/>
          <w:sz w:val="24"/>
          <w:szCs w:val="24"/>
          <w:rtl/>
        </w:rPr>
        <w:t xml:space="preserve">כלשונה של התורה </w:t>
      </w:r>
      <w:r w:rsidR="00734A35">
        <w:rPr>
          <w:rFonts w:cs="David" w:hint="cs"/>
          <w:sz w:val="24"/>
          <w:szCs w:val="24"/>
          <w:rtl/>
        </w:rPr>
        <w:t>(שם)</w:t>
      </w:r>
      <w:r w:rsidR="00E7124B">
        <w:rPr>
          <w:rFonts w:cs="David" w:hint="cs"/>
          <w:sz w:val="24"/>
          <w:szCs w:val="24"/>
          <w:rtl/>
        </w:rPr>
        <w:t>;</w:t>
      </w:r>
      <w:r w:rsidR="00827B1A" w:rsidRPr="00E7124B">
        <w:rPr>
          <w:rStyle w:val="ad"/>
          <w:rtl/>
        </w:rPr>
        <w:endnoteReference w:id="8"/>
      </w:r>
      <w:r w:rsidR="00E7124B">
        <w:rPr>
          <w:rFonts w:cs="David" w:hint="cs"/>
          <w:sz w:val="24"/>
          <w:szCs w:val="24"/>
          <w:rtl/>
        </w:rPr>
        <w:t xml:space="preserve"> </w:t>
      </w:r>
      <w:proofErr w:type="spellStart"/>
      <w:r w:rsidR="00E7124B">
        <w:rPr>
          <w:rFonts w:cs="David" w:hint="cs"/>
          <w:sz w:val="24"/>
          <w:szCs w:val="24"/>
          <w:rtl/>
        </w:rPr>
        <w:t>ו</w:t>
      </w:r>
      <w:r w:rsidR="00734A35">
        <w:rPr>
          <w:rFonts w:cs="David" w:hint="cs"/>
          <w:sz w:val="24"/>
          <w:szCs w:val="24"/>
          <w:rtl/>
        </w:rPr>
        <w:t>מאידך</w:t>
      </w:r>
      <w:r w:rsidR="00E7124B">
        <w:rPr>
          <w:rFonts w:cs="David" w:hint="eastAsia"/>
          <w:sz w:val="24"/>
          <w:szCs w:val="24"/>
          <w:rtl/>
        </w:rPr>
        <w:t>־</w:t>
      </w:r>
      <w:r w:rsidR="00E7124B">
        <w:rPr>
          <w:rFonts w:cs="David" w:hint="cs"/>
          <w:sz w:val="24"/>
          <w:szCs w:val="24"/>
          <w:rtl/>
        </w:rPr>
        <w:t>גיסא</w:t>
      </w:r>
      <w:proofErr w:type="spellEnd"/>
      <w:r w:rsidR="00734A35">
        <w:rPr>
          <w:rFonts w:cs="David" w:hint="cs"/>
          <w:sz w:val="24"/>
          <w:szCs w:val="24"/>
          <w:rtl/>
        </w:rPr>
        <w:t>,</w:t>
      </w:r>
      <w:r w:rsidR="00E7124B">
        <w:rPr>
          <w:rFonts w:cs="David" w:hint="cs"/>
          <w:sz w:val="24"/>
          <w:szCs w:val="24"/>
          <w:rtl/>
        </w:rPr>
        <w:t xml:space="preserve"> היא</w:t>
      </w:r>
      <w:r w:rsidR="00734A35">
        <w:rPr>
          <w:rFonts w:cs="David" w:hint="cs"/>
          <w:sz w:val="24"/>
          <w:szCs w:val="24"/>
          <w:rtl/>
        </w:rPr>
        <w:t xml:space="preserve"> פותחת פתח להסתכלות רחבה יותר על אתגרים ואפילו כ</w:t>
      </w:r>
      <w:r w:rsidR="00E7124B">
        <w:rPr>
          <w:rFonts w:cs="David" w:hint="cs"/>
          <w:sz w:val="24"/>
          <w:szCs w:val="24"/>
          <w:rtl/>
        </w:rPr>
        <w:t>י</w:t>
      </w:r>
      <w:r w:rsidR="00734A35">
        <w:rPr>
          <w:rFonts w:cs="David" w:hint="cs"/>
          <w:sz w:val="24"/>
          <w:szCs w:val="24"/>
          <w:rtl/>
        </w:rPr>
        <w:t>שלונות נקודתיים</w:t>
      </w:r>
      <w:r w:rsidR="008C189D">
        <w:rPr>
          <w:rFonts w:cs="David" w:hint="cs"/>
          <w:sz w:val="24"/>
          <w:szCs w:val="24"/>
          <w:rtl/>
        </w:rPr>
        <w:t xml:space="preserve"> </w:t>
      </w:r>
      <w:r w:rsidR="00E7124B">
        <w:rPr>
          <w:rFonts w:cs="David"/>
          <w:sz w:val="24"/>
          <w:szCs w:val="24"/>
          <w:rtl/>
        </w:rPr>
        <w:t>–</w:t>
      </w:r>
      <w:r w:rsidR="00E7124B">
        <w:rPr>
          <w:rFonts w:cs="David" w:hint="cs"/>
          <w:sz w:val="24"/>
          <w:szCs w:val="24"/>
          <w:rtl/>
        </w:rPr>
        <w:t xml:space="preserve"> </w:t>
      </w:r>
      <w:r w:rsidR="008C189D">
        <w:rPr>
          <w:rFonts w:cs="David" w:hint="cs"/>
          <w:sz w:val="24"/>
          <w:szCs w:val="24"/>
          <w:rtl/>
        </w:rPr>
        <w:t>תוך שימת לב להקשר הכללי של השירות הצבאי והקשיים יוצאי הדופן המתעוררים בו.</w:t>
      </w:r>
      <w:r w:rsidR="00E70552" w:rsidRPr="00E7124B">
        <w:rPr>
          <w:rStyle w:val="ad"/>
          <w:rtl/>
        </w:rPr>
        <w:endnoteReference w:id="9"/>
      </w:r>
      <w:r w:rsidR="00396E2E">
        <w:rPr>
          <w:rFonts w:cs="David" w:hint="cs"/>
          <w:sz w:val="24"/>
          <w:szCs w:val="24"/>
          <w:rtl/>
        </w:rPr>
        <w:t xml:space="preserve"> ראוי אם כן שבפני שופט</w:t>
      </w:r>
      <w:r w:rsidR="00E7124B">
        <w:rPr>
          <w:rFonts w:cs="David" w:hint="cs"/>
          <w:sz w:val="24"/>
          <w:szCs w:val="24"/>
          <w:rtl/>
        </w:rPr>
        <w:t xml:space="preserve"> המבקש להטיל עונש על חייל</w:t>
      </w:r>
      <w:r w:rsidR="00396E2E">
        <w:rPr>
          <w:rFonts w:cs="David" w:hint="cs"/>
          <w:sz w:val="24"/>
          <w:szCs w:val="24"/>
          <w:rtl/>
        </w:rPr>
        <w:t xml:space="preserve">, יונח תסקיר המצביע על </w:t>
      </w:r>
      <w:r w:rsidR="00396474">
        <w:rPr>
          <w:rFonts w:cs="David" w:hint="cs"/>
          <w:sz w:val="24"/>
          <w:szCs w:val="24"/>
          <w:rtl/>
        </w:rPr>
        <w:t>דרכ</w:t>
      </w:r>
      <w:r w:rsidR="00396E2E">
        <w:rPr>
          <w:rFonts w:cs="David" w:hint="cs"/>
          <w:sz w:val="24"/>
          <w:szCs w:val="24"/>
          <w:rtl/>
        </w:rPr>
        <w:t>יו ואישיותו</w:t>
      </w:r>
      <w:r w:rsidR="00396474">
        <w:rPr>
          <w:rFonts w:cs="David" w:hint="cs"/>
          <w:sz w:val="24"/>
          <w:szCs w:val="24"/>
          <w:rtl/>
        </w:rPr>
        <w:t xml:space="preserve"> של הנאשם בהיותו אזרח, </w:t>
      </w:r>
      <w:r w:rsidR="00396474">
        <w:rPr>
          <w:rFonts w:cs="David" w:hint="cs"/>
          <w:sz w:val="24"/>
          <w:szCs w:val="24"/>
          <w:rtl/>
        </w:rPr>
        <w:lastRenderedPageBreak/>
        <w:t>מחוץ למסגרת הצבאית ונתוניה הי</w:t>
      </w:r>
      <w:r w:rsidR="00E7124B">
        <w:rPr>
          <w:rFonts w:cs="David" w:hint="cs"/>
          <w:sz w:val="24"/>
          <w:szCs w:val="24"/>
          <w:rtl/>
        </w:rPr>
        <w:t>י</w:t>
      </w:r>
      <w:r w:rsidR="00396474">
        <w:rPr>
          <w:rFonts w:cs="David" w:hint="cs"/>
          <w:sz w:val="24"/>
          <w:szCs w:val="24"/>
          <w:rtl/>
        </w:rPr>
        <w:t>חודיים.</w:t>
      </w:r>
      <w:r w:rsidR="00396E2E">
        <w:rPr>
          <w:rFonts w:cs="David" w:hint="cs"/>
          <w:sz w:val="24"/>
          <w:szCs w:val="24"/>
          <w:rtl/>
        </w:rPr>
        <w:t xml:space="preserve"> </w:t>
      </w:r>
      <w:r w:rsidR="00E7124B">
        <w:rPr>
          <w:rFonts w:cs="David" w:hint="cs"/>
          <w:sz w:val="24"/>
          <w:szCs w:val="24"/>
          <w:rtl/>
        </w:rPr>
        <w:t>יתר על כן:</w:t>
      </w:r>
      <w:r w:rsidR="008C189D">
        <w:rPr>
          <w:rFonts w:cs="David" w:hint="cs"/>
          <w:sz w:val="24"/>
          <w:szCs w:val="24"/>
          <w:rtl/>
        </w:rPr>
        <w:t xml:space="preserve"> במקרים </w:t>
      </w:r>
      <w:r w:rsidR="00E7124B">
        <w:rPr>
          <w:rFonts w:cs="David" w:hint="cs"/>
          <w:sz w:val="24"/>
          <w:szCs w:val="24"/>
          <w:rtl/>
        </w:rPr>
        <w:t>ש</w:t>
      </w:r>
      <w:r w:rsidR="008C189D">
        <w:rPr>
          <w:rFonts w:cs="David" w:hint="cs"/>
          <w:sz w:val="24"/>
          <w:szCs w:val="24"/>
          <w:rtl/>
        </w:rPr>
        <w:t>בהם הי</w:t>
      </w:r>
      <w:r w:rsidR="00E7124B">
        <w:rPr>
          <w:rFonts w:cs="David" w:hint="cs"/>
          <w:sz w:val="24"/>
          <w:szCs w:val="24"/>
          <w:rtl/>
        </w:rPr>
        <w:t>יתה העבירה קשורה במישרין ל</w:t>
      </w:r>
      <w:r w:rsidR="008C189D">
        <w:rPr>
          <w:rFonts w:cs="David" w:hint="cs"/>
          <w:sz w:val="24"/>
          <w:szCs w:val="24"/>
          <w:rtl/>
        </w:rPr>
        <w:t xml:space="preserve">שירותו הצבאי של החייל, </w:t>
      </w:r>
      <w:r w:rsidR="00E7124B">
        <w:rPr>
          <w:rFonts w:cs="David" w:hint="cs"/>
          <w:sz w:val="24"/>
          <w:szCs w:val="24"/>
          <w:rtl/>
        </w:rPr>
        <w:t>ו</w:t>
      </w:r>
      <w:r w:rsidR="008C189D">
        <w:rPr>
          <w:rFonts w:cs="David" w:hint="cs"/>
          <w:sz w:val="24"/>
          <w:szCs w:val="24"/>
          <w:rtl/>
        </w:rPr>
        <w:t xml:space="preserve">נעשתה מתוך </w:t>
      </w:r>
      <w:r w:rsidR="00E7124B">
        <w:rPr>
          <w:rFonts w:cs="David" w:hint="cs"/>
          <w:sz w:val="24"/>
          <w:szCs w:val="24"/>
          <w:rtl/>
        </w:rPr>
        <w:t>רצון לעמוד במשימות שהוטלו על החייל</w:t>
      </w:r>
      <w:r w:rsidR="00A64EFC">
        <w:rPr>
          <w:rFonts w:cs="David" w:hint="cs"/>
          <w:sz w:val="24"/>
          <w:szCs w:val="24"/>
          <w:rtl/>
        </w:rPr>
        <w:t xml:space="preserve"> </w:t>
      </w:r>
      <w:r w:rsidR="00E7124B">
        <w:rPr>
          <w:rFonts w:cs="David" w:hint="cs"/>
          <w:sz w:val="24"/>
          <w:szCs w:val="24"/>
          <w:rtl/>
        </w:rPr>
        <w:t xml:space="preserve">(או </w:t>
      </w:r>
      <w:r w:rsidR="00C50EF0">
        <w:rPr>
          <w:rFonts w:cs="David" w:hint="cs"/>
          <w:sz w:val="24"/>
          <w:szCs w:val="24"/>
          <w:rtl/>
        </w:rPr>
        <w:t>נבעה</w:t>
      </w:r>
      <w:r w:rsidR="00E7124B">
        <w:rPr>
          <w:rFonts w:cs="David" w:hint="cs"/>
          <w:sz w:val="24"/>
          <w:szCs w:val="24"/>
          <w:rtl/>
        </w:rPr>
        <w:t>,</w:t>
      </w:r>
      <w:r w:rsidR="00C50EF0">
        <w:rPr>
          <w:rFonts w:cs="David" w:hint="cs"/>
          <w:sz w:val="24"/>
          <w:szCs w:val="24"/>
          <w:rtl/>
        </w:rPr>
        <w:t xml:space="preserve"> לפחות בחלקה</w:t>
      </w:r>
      <w:r w:rsidR="00E7124B">
        <w:rPr>
          <w:rFonts w:cs="David" w:hint="cs"/>
          <w:sz w:val="24"/>
          <w:szCs w:val="24"/>
          <w:rtl/>
        </w:rPr>
        <w:t>ּ,</w:t>
      </w:r>
      <w:r w:rsidR="00C50EF0">
        <w:rPr>
          <w:rFonts w:cs="David" w:hint="cs"/>
          <w:sz w:val="24"/>
          <w:szCs w:val="24"/>
          <w:rtl/>
        </w:rPr>
        <w:t xml:space="preserve"> מלחצים נפשיים ואחרים </w:t>
      </w:r>
      <w:r w:rsidR="00E7124B">
        <w:rPr>
          <w:rFonts w:cs="David" w:hint="cs"/>
          <w:sz w:val="24"/>
          <w:szCs w:val="24"/>
          <w:rtl/>
        </w:rPr>
        <w:t>ש</w:t>
      </w:r>
      <w:r w:rsidR="00C50EF0">
        <w:rPr>
          <w:rFonts w:cs="David" w:hint="cs"/>
          <w:sz w:val="24"/>
          <w:szCs w:val="24"/>
          <w:rtl/>
        </w:rPr>
        <w:t>בהם נתונים חיילים</w:t>
      </w:r>
      <w:r w:rsidR="00E7124B">
        <w:rPr>
          <w:rFonts w:cs="David" w:hint="cs"/>
          <w:sz w:val="24"/>
          <w:szCs w:val="24"/>
          <w:rtl/>
        </w:rPr>
        <w:t>)</w:t>
      </w:r>
      <w:r w:rsidR="00C50EF0">
        <w:rPr>
          <w:rFonts w:cs="David" w:hint="cs"/>
          <w:sz w:val="24"/>
          <w:szCs w:val="24"/>
          <w:rtl/>
        </w:rPr>
        <w:t xml:space="preserve">, </w:t>
      </w:r>
      <w:r w:rsidR="008C189D">
        <w:rPr>
          <w:rFonts w:cs="David" w:hint="cs"/>
          <w:sz w:val="24"/>
          <w:szCs w:val="24"/>
          <w:rtl/>
        </w:rPr>
        <w:t>הרי ש</w:t>
      </w:r>
      <w:r w:rsidR="00C50EF0">
        <w:rPr>
          <w:rFonts w:cs="David" w:hint="cs"/>
          <w:sz w:val="24"/>
          <w:szCs w:val="24"/>
          <w:rtl/>
        </w:rPr>
        <w:t>רקע</w:t>
      </w:r>
      <w:r w:rsidR="00E7124B">
        <w:rPr>
          <w:rFonts w:cs="David" w:hint="cs"/>
          <w:sz w:val="24"/>
          <w:szCs w:val="24"/>
          <w:rtl/>
        </w:rPr>
        <w:t xml:space="preserve"> זה</w:t>
      </w:r>
      <w:r w:rsidR="008C189D">
        <w:rPr>
          <w:rFonts w:cs="David" w:hint="cs"/>
          <w:sz w:val="24"/>
          <w:szCs w:val="24"/>
          <w:rtl/>
        </w:rPr>
        <w:t xml:space="preserve"> גופ</w:t>
      </w:r>
      <w:r w:rsidR="00C50EF0">
        <w:rPr>
          <w:rFonts w:cs="David" w:hint="cs"/>
          <w:sz w:val="24"/>
          <w:szCs w:val="24"/>
          <w:rtl/>
        </w:rPr>
        <w:t>ו</w:t>
      </w:r>
      <w:r w:rsidR="008C189D">
        <w:rPr>
          <w:rFonts w:cs="David" w:hint="cs"/>
          <w:sz w:val="24"/>
          <w:szCs w:val="24"/>
          <w:rtl/>
        </w:rPr>
        <w:t xml:space="preserve"> </w:t>
      </w:r>
      <w:r w:rsidR="00E7124B">
        <w:rPr>
          <w:rFonts w:cs="David" w:hint="cs"/>
          <w:sz w:val="24"/>
          <w:szCs w:val="24"/>
          <w:rtl/>
        </w:rPr>
        <w:t xml:space="preserve">עשוי להיות </w:t>
      </w:r>
      <w:r w:rsidR="008C189D">
        <w:rPr>
          <w:rFonts w:cs="David" w:hint="cs"/>
          <w:sz w:val="24"/>
          <w:szCs w:val="24"/>
          <w:rtl/>
        </w:rPr>
        <w:t>סיבה להקל</w:t>
      </w:r>
      <w:r w:rsidR="00C50EF0">
        <w:rPr>
          <w:rFonts w:cs="David" w:hint="cs"/>
          <w:sz w:val="24"/>
          <w:szCs w:val="24"/>
          <w:rtl/>
        </w:rPr>
        <w:t>ה</w:t>
      </w:r>
      <w:r w:rsidR="008C189D">
        <w:rPr>
          <w:rFonts w:cs="David" w:hint="cs"/>
          <w:sz w:val="24"/>
          <w:szCs w:val="24"/>
          <w:rtl/>
        </w:rPr>
        <w:t xml:space="preserve"> בעונש</w:t>
      </w:r>
      <w:r w:rsidR="00A64EFC">
        <w:rPr>
          <w:rFonts w:cs="David" w:hint="cs"/>
          <w:sz w:val="24"/>
          <w:szCs w:val="24"/>
          <w:rtl/>
        </w:rPr>
        <w:t xml:space="preserve"> </w:t>
      </w:r>
      <w:r w:rsidR="00A64EFC">
        <w:rPr>
          <w:rFonts w:cs="David"/>
          <w:sz w:val="24"/>
          <w:szCs w:val="24"/>
          <w:rtl/>
        </w:rPr>
        <w:t>–</w:t>
      </w:r>
      <w:r w:rsidR="00A64EFC">
        <w:rPr>
          <w:rFonts w:cs="David" w:hint="cs"/>
          <w:sz w:val="24"/>
          <w:szCs w:val="24"/>
          <w:rtl/>
        </w:rPr>
        <w:t xml:space="preserve"> </w:t>
      </w:r>
      <w:r w:rsidR="00C50EF0">
        <w:rPr>
          <w:rFonts w:cs="David" w:hint="cs"/>
          <w:sz w:val="24"/>
          <w:szCs w:val="24"/>
          <w:rtl/>
        </w:rPr>
        <w:t>אף</w:t>
      </w:r>
      <w:r w:rsidR="00A64EFC">
        <w:rPr>
          <w:rFonts w:cs="David" w:hint="cs"/>
          <w:sz w:val="24"/>
          <w:szCs w:val="24"/>
          <w:rtl/>
        </w:rPr>
        <w:t xml:space="preserve"> אם </w:t>
      </w:r>
      <w:r w:rsidR="00B5051C">
        <w:rPr>
          <w:rFonts w:cs="David" w:hint="cs"/>
          <w:sz w:val="24"/>
          <w:szCs w:val="24"/>
          <w:rtl/>
        </w:rPr>
        <w:t xml:space="preserve">בעבירה היה מעורב יסוד של רשלנות </w:t>
      </w:r>
      <w:r w:rsidR="00C50EF0">
        <w:rPr>
          <w:rFonts w:cs="David" w:hint="cs"/>
          <w:sz w:val="24"/>
          <w:szCs w:val="24"/>
          <w:rtl/>
        </w:rPr>
        <w:t>ופשיעה.</w:t>
      </w:r>
      <w:r w:rsidR="00C50EF0" w:rsidRPr="00E7124B">
        <w:rPr>
          <w:rStyle w:val="af0"/>
          <w:rtl/>
        </w:rPr>
        <w:endnoteReference w:id="10"/>
      </w:r>
      <w:r w:rsidR="00E7124B">
        <w:rPr>
          <w:rFonts w:cs="David" w:hint="cs"/>
          <w:sz w:val="24"/>
          <w:szCs w:val="24"/>
          <w:rtl/>
        </w:rPr>
        <w:t xml:space="preserve"> תסקיר ש</w:t>
      </w:r>
      <w:r w:rsidR="00C50EF0">
        <w:rPr>
          <w:rFonts w:cs="David" w:hint="cs"/>
          <w:sz w:val="24"/>
          <w:szCs w:val="24"/>
          <w:rtl/>
        </w:rPr>
        <w:t xml:space="preserve">בו </w:t>
      </w:r>
      <w:r w:rsidR="00E7124B">
        <w:rPr>
          <w:rFonts w:cs="David" w:hint="cs"/>
          <w:sz w:val="24"/>
          <w:szCs w:val="24"/>
          <w:rtl/>
        </w:rPr>
        <w:t>תימצא התייחסות לנסיבות העבירה</w:t>
      </w:r>
      <w:r w:rsidR="00C50EF0">
        <w:rPr>
          <w:rFonts w:cs="David" w:hint="cs"/>
          <w:sz w:val="24"/>
          <w:szCs w:val="24"/>
          <w:rtl/>
        </w:rPr>
        <w:t xml:space="preserve"> יכול </w:t>
      </w:r>
      <w:r w:rsidR="00E7124B">
        <w:rPr>
          <w:rFonts w:cs="David" w:hint="cs"/>
          <w:sz w:val="24"/>
          <w:szCs w:val="24"/>
          <w:rtl/>
        </w:rPr>
        <w:t xml:space="preserve">אם כן </w:t>
      </w:r>
      <w:r w:rsidR="00C50EF0">
        <w:rPr>
          <w:rFonts w:cs="David" w:hint="cs"/>
          <w:sz w:val="24"/>
          <w:szCs w:val="24"/>
          <w:rtl/>
        </w:rPr>
        <w:t>לסייע רבות בגיבוש עמדה נכונה לא רק כלפי סיכו</w:t>
      </w:r>
      <w:r w:rsidR="00E7124B">
        <w:rPr>
          <w:rFonts w:cs="David" w:hint="cs"/>
          <w:sz w:val="24"/>
          <w:szCs w:val="24"/>
          <w:rtl/>
        </w:rPr>
        <w:t>י</w:t>
      </w:r>
      <w:r w:rsidR="00C50EF0">
        <w:rPr>
          <w:rFonts w:cs="David" w:hint="cs"/>
          <w:sz w:val="24"/>
          <w:szCs w:val="24"/>
          <w:rtl/>
        </w:rPr>
        <w:t xml:space="preserve">י השיקום, אלא גם כלפי </w:t>
      </w:r>
      <w:r w:rsidR="00B636CB">
        <w:rPr>
          <w:rFonts w:cs="David" w:hint="cs"/>
          <w:sz w:val="24"/>
          <w:szCs w:val="24"/>
          <w:rtl/>
        </w:rPr>
        <w:t>ה</w:t>
      </w:r>
      <w:r w:rsidR="00715A4B">
        <w:rPr>
          <w:rFonts w:cs="David" w:hint="cs"/>
          <w:sz w:val="24"/>
          <w:szCs w:val="24"/>
          <w:rtl/>
        </w:rPr>
        <w:t>עבירה</w:t>
      </w:r>
      <w:r w:rsidR="00B636CB">
        <w:rPr>
          <w:rFonts w:cs="David" w:hint="cs"/>
          <w:sz w:val="24"/>
          <w:szCs w:val="24"/>
          <w:rtl/>
        </w:rPr>
        <w:t xml:space="preserve"> והעונש הראוי לה</w:t>
      </w:r>
      <w:r w:rsidR="00715A4B">
        <w:rPr>
          <w:rFonts w:cs="David" w:hint="cs"/>
          <w:sz w:val="24"/>
          <w:szCs w:val="24"/>
          <w:rtl/>
        </w:rPr>
        <w:t>.</w:t>
      </w:r>
      <w:r w:rsidR="00086D03" w:rsidRPr="00E7124B">
        <w:rPr>
          <w:rStyle w:val="af0"/>
        </w:rPr>
        <w:endnoteReference w:id="11"/>
      </w:r>
    </w:p>
    <w:p w14:paraId="21877AA5" w14:textId="77777777" w:rsidR="00E7124B" w:rsidRPr="00E7124B" w:rsidRDefault="00E7124B" w:rsidP="00E7124B">
      <w:pPr>
        <w:spacing w:line="360" w:lineRule="auto"/>
        <w:jc w:val="both"/>
        <w:rPr>
          <w:rFonts w:cs="David"/>
          <w:b/>
          <w:bCs/>
          <w:sz w:val="24"/>
          <w:szCs w:val="24"/>
          <w:rtl/>
        </w:rPr>
      </w:pPr>
    </w:p>
    <w:p w14:paraId="6578C5EF" w14:textId="77777777" w:rsidR="00B67482" w:rsidRPr="00E7124B" w:rsidRDefault="00A81E14" w:rsidP="00E7124B">
      <w:pPr>
        <w:spacing w:line="360" w:lineRule="auto"/>
        <w:jc w:val="both"/>
        <w:rPr>
          <w:rFonts w:cs="David"/>
          <w:b/>
          <w:bCs/>
          <w:sz w:val="24"/>
          <w:szCs w:val="24"/>
          <w:rtl/>
        </w:rPr>
      </w:pPr>
      <w:r>
        <w:rPr>
          <w:rFonts w:cs="David" w:hint="cs"/>
          <w:b/>
          <w:bCs/>
          <w:sz w:val="24"/>
          <w:szCs w:val="24"/>
          <w:rtl/>
        </w:rPr>
        <w:t xml:space="preserve">לאור האמור, רבני </w:t>
      </w:r>
      <w:r w:rsidR="00A66FF3">
        <w:rPr>
          <w:rFonts w:cs="David" w:hint="cs"/>
          <w:b/>
          <w:bCs/>
          <w:sz w:val="24"/>
          <w:szCs w:val="24"/>
          <w:rtl/>
        </w:rPr>
        <w:t>'</w:t>
      </w:r>
      <w:proofErr w:type="spellStart"/>
      <w:r>
        <w:rPr>
          <w:rFonts w:cs="David" w:hint="cs"/>
          <w:b/>
          <w:bCs/>
          <w:sz w:val="24"/>
          <w:szCs w:val="24"/>
          <w:rtl/>
        </w:rPr>
        <w:t>צהר</w:t>
      </w:r>
      <w:proofErr w:type="spellEnd"/>
      <w:r w:rsidR="00A66FF3">
        <w:rPr>
          <w:rFonts w:cs="David" w:hint="cs"/>
          <w:b/>
          <w:bCs/>
          <w:sz w:val="24"/>
          <w:szCs w:val="24"/>
          <w:rtl/>
        </w:rPr>
        <w:t>'</w:t>
      </w:r>
      <w:r>
        <w:rPr>
          <w:rFonts w:cs="David" w:hint="cs"/>
          <w:b/>
          <w:bCs/>
          <w:sz w:val="24"/>
          <w:szCs w:val="24"/>
          <w:rtl/>
        </w:rPr>
        <w:t xml:space="preserve"> </w:t>
      </w:r>
      <w:r w:rsidR="002C5A5B">
        <w:rPr>
          <w:rFonts w:cs="David" w:hint="cs"/>
          <w:b/>
          <w:bCs/>
          <w:sz w:val="24"/>
          <w:szCs w:val="24"/>
          <w:rtl/>
        </w:rPr>
        <w:t>תומכים בהצעת החוק</w:t>
      </w:r>
      <w:r w:rsidR="00B636CB">
        <w:rPr>
          <w:rFonts w:cs="David" w:hint="cs"/>
          <w:b/>
          <w:bCs/>
          <w:sz w:val="24"/>
          <w:szCs w:val="24"/>
          <w:rtl/>
        </w:rPr>
        <w:t xml:space="preserve"> ובקביעת חובת תסקיר מבחן לחיילים.</w:t>
      </w:r>
    </w:p>
    <w:sectPr w:rsidR="00B67482" w:rsidRPr="00E7124B" w:rsidSect="00FB3DA8">
      <w:headerReference w:type="even" r:id="rId8"/>
      <w:headerReference w:type="default" r:id="rId9"/>
      <w:footerReference w:type="default" r:id="rId10"/>
      <w:endnotePr>
        <w:numFmt w:val="decimal"/>
      </w:endnotePr>
      <w:pgSz w:w="11906" w:h="16838"/>
      <w:pgMar w:top="2127" w:right="1080" w:bottom="1276" w:left="1080" w:header="851" w:footer="237" w:gutter="0"/>
      <w:cols w:space="720"/>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0D593" w14:textId="77777777" w:rsidR="00C8527E" w:rsidRDefault="00C8527E">
      <w:r>
        <w:separator/>
      </w:r>
    </w:p>
  </w:endnote>
  <w:endnote w:type="continuationSeparator" w:id="0">
    <w:p w14:paraId="4033EED3" w14:textId="77777777" w:rsidR="00C8527E" w:rsidRDefault="00C8527E">
      <w:r>
        <w:continuationSeparator/>
      </w:r>
    </w:p>
  </w:endnote>
  <w:endnote w:id="1">
    <w:p w14:paraId="0937CC7D" w14:textId="77777777" w:rsidR="00E7124B" w:rsidRDefault="00E7124B" w:rsidP="00E7124B">
      <w:pPr>
        <w:pStyle w:val="ae"/>
        <w:rPr>
          <w:rtl/>
        </w:rPr>
      </w:pPr>
      <w:r>
        <w:rPr>
          <w:rStyle w:val="af0"/>
        </w:rPr>
        <w:endnoteRef/>
      </w:r>
      <w:r>
        <w:rPr>
          <w:rtl/>
        </w:rPr>
        <w:t xml:space="preserve"> </w:t>
      </w:r>
      <w:r>
        <w:rPr>
          <w:rFonts w:hint="cs"/>
          <w:rtl/>
        </w:rPr>
        <w:t xml:space="preserve">חוק העונשין, </w:t>
      </w:r>
      <w:proofErr w:type="spellStart"/>
      <w:r>
        <w:rPr>
          <w:rFonts w:hint="cs"/>
          <w:rtl/>
        </w:rPr>
        <w:t>התשל"ז</w:t>
      </w:r>
      <w:proofErr w:type="spellEnd"/>
      <w:r>
        <w:rPr>
          <w:rtl/>
        </w:rPr>
        <w:t>–</w:t>
      </w:r>
      <w:r>
        <w:rPr>
          <w:rFonts w:hint="cs"/>
          <w:rtl/>
        </w:rPr>
        <w:t>1977, סעיף 38(א)</w:t>
      </w:r>
    </w:p>
  </w:endnote>
  <w:endnote w:id="2">
    <w:p w14:paraId="3CAC7D8D" w14:textId="77777777" w:rsidR="00812EB1" w:rsidRDefault="00812EB1" w:rsidP="00E7124B">
      <w:pPr>
        <w:pStyle w:val="ae"/>
      </w:pPr>
      <w:r>
        <w:rPr>
          <w:rStyle w:val="af0"/>
        </w:rPr>
        <w:endnoteRef/>
      </w:r>
      <w:r>
        <w:rPr>
          <w:rtl/>
        </w:rPr>
        <w:t xml:space="preserve"> </w:t>
      </w:r>
      <w:r w:rsidR="00E7124B">
        <w:rPr>
          <w:rFonts w:hint="cs"/>
          <w:rtl/>
        </w:rPr>
        <w:t xml:space="preserve">ראו </w:t>
      </w:r>
      <w:r>
        <w:rPr>
          <w:rFonts w:hint="cs"/>
          <w:rtl/>
        </w:rPr>
        <w:t xml:space="preserve">דרשות </w:t>
      </w:r>
      <w:r w:rsidR="00E7124B">
        <w:rPr>
          <w:rFonts w:hint="cs"/>
          <w:rtl/>
        </w:rPr>
        <w:t>הר"ן, דרוש י</w:t>
      </w:r>
      <w:r>
        <w:rPr>
          <w:rFonts w:hint="cs"/>
          <w:rtl/>
        </w:rPr>
        <w:t>א: "</w:t>
      </w:r>
      <w:r w:rsidRPr="00812EB1">
        <w:rPr>
          <w:rtl/>
        </w:rPr>
        <w:t xml:space="preserve">האחד יחייב להעניש איזה איש כפי משפט </w:t>
      </w:r>
      <w:proofErr w:type="spellStart"/>
      <w:r w:rsidRPr="00812EB1">
        <w:rPr>
          <w:rtl/>
        </w:rPr>
        <w:t>אמיתי</w:t>
      </w:r>
      <w:proofErr w:type="spellEnd"/>
      <w:r w:rsidRPr="00812EB1">
        <w:rPr>
          <w:rtl/>
        </w:rPr>
        <w:t>, והשני</w:t>
      </w:r>
      <w:r>
        <w:rPr>
          <w:rFonts w:hint="cs"/>
          <w:rtl/>
        </w:rPr>
        <w:t>...</w:t>
      </w:r>
      <w:r w:rsidR="00E7124B">
        <w:rPr>
          <w:rtl/>
        </w:rPr>
        <w:t xml:space="preserve"> יחו</w:t>
      </w:r>
      <w:r w:rsidRPr="00812EB1">
        <w:rPr>
          <w:rtl/>
        </w:rPr>
        <w:t>יב להענישו כפי תיקון סדר מדיני וכפי צורך השעה</w:t>
      </w:r>
      <w:r>
        <w:rPr>
          <w:rFonts w:hint="cs"/>
          <w:rtl/>
        </w:rPr>
        <w:t>". הדבר</w:t>
      </w:r>
      <w:r w:rsidR="00E7124B">
        <w:rPr>
          <w:rFonts w:hint="cs"/>
          <w:rtl/>
        </w:rPr>
        <w:t>ים רמוזים כבר במשנה תורה לרמב"ם</w:t>
      </w:r>
      <w:r>
        <w:rPr>
          <w:rFonts w:hint="cs"/>
          <w:rtl/>
        </w:rPr>
        <w:t xml:space="preserve"> </w:t>
      </w:r>
      <w:r w:rsidR="00E7124B">
        <w:rPr>
          <w:rFonts w:hint="cs"/>
          <w:rtl/>
        </w:rPr>
        <w:t>(</w:t>
      </w:r>
      <w:r>
        <w:rPr>
          <w:rFonts w:hint="cs"/>
          <w:rtl/>
        </w:rPr>
        <w:t>הלכות מלכים</w:t>
      </w:r>
      <w:r w:rsidR="00E7124B">
        <w:rPr>
          <w:rFonts w:hint="cs"/>
          <w:rtl/>
        </w:rPr>
        <w:t>,</w:t>
      </w:r>
      <w:r>
        <w:rPr>
          <w:rFonts w:hint="cs"/>
          <w:rtl/>
        </w:rPr>
        <w:t xml:space="preserve"> פרק ג</w:t>
      </w:r>
      <w:r w:rsidR="00E7124B">
        <w:rPr>
          <w:rFonts w:hint="cs"/>
          <w:rtl/>
        </w:rPr>
        <w:t>,</w:t>
      </w:r>
      <w:r>
        <w:rPr>
          <w:rFonts w:hint="cs"/>
          <w:rtl/>
        </w:rPr>
        <w:t xml:space="preserve"> הלכה י</w:t>
      </w:r>
      <w:r w:rsidR="00E7124B">
        <w:rPr>
          <w:rFonts w:hint="cs"/>
          <w:rtl/>
        </w:rPr>
        <w:t>)</w:t>
      </w:r>
      <w:r>
        <w:rPr>
          <w:rFonts w:hint="cs"/>
          <w:rtl/>
        </w:rPr>
        <w:t xml:space="preserve">: </w:t>
      </w:r>
      <w:r w:rsidRPr="00812EB1">
        <w:rPr>
          <w:rtl/>
        </w:rPr>
        <w:t>"כל ההורג נפשות שלא בראיה ברורה, או בלא התראה, אפילו בעד אחד, או שונא שהרג בשגגה, יש למלך רשות להרגו ולתקן העולם כפי מה שהשעה צריכה, והורג רבים ביום אחד, ותולה ומניחן תלויים ימים רבים, להטיל אימה ולשבר יד רשעי העולם"</w:t>
      </w:r>
      <w:r w:rsidR="00E7124B">
        <w:rPr>
          <w:rFonts w:hint="cs"/>
          <w:rtl/>
        </w:rPr>
        <w:t>. להרחבה נוספת ראו</w:t>
      </w:r>
      <w:r>
        <w:rPr>
          <w:rFonts w:hint="cs"/>
          <w:rtl/>
        </w:rPr>
        <w:t xml:space="preserve"> אהרן קירשנבאום, בית דין מכין </w:t>
      </w:r>
      <w:proofErr w:type="spellStart"/>
      <w:r>
        <w:rPr>
          <w:rFonts w:hint="cs"/>
          <w:rtl/>
        </w:rPr>
        <w:t>ועונשין</w:t>
      </w:r>
      <w:proofErr w:type="spellEnd"/>
      <w:r>
        <w:rPr>
          <w:rFonts w:hint="cs"/>
          <w:rtl/>
        </w:rPr>
        <w:t xml:space="preserve">: הענישה הפלילית בעם ישראל </w:t>
      </w:r>
      <w:r>
        <w:rPr>
          <w:rtl/>
        </w:rPr>
        <w:t>–</w:t>
      </w:r>
      <w:r>
        <w:rPr>
          <w:rFonts w:hint="cs"/>
          <w:rtl/>
        </w:rPr>
        <w:t xml:space="preserve"> תורתה ותולדותיה, </w:t>
      </w:r>
      <w:r w:rsidR="00E7124B">
        <w:rPr>
          <w:rFonts w:hint="cs"/>
          <w:rtl/>
        </w:rPr>
        <w:t>ירושלים</w:t>
      </w:r>
      <w:r w:rsidR="00442975">
        <w:rPr>
          <w:rFonts w:hint="cs"/>
          <w:rtl/>
        </w:rPr>
        <w:t xml:space="preserve"> תשע"ג, עמ' </w:t>
      </w:r>
      <w:r w:rsidR="00E7124B">
        <w:rPr>
          <w:rFonts w:hint="cs"/>
          <w:rtl/>
        </w:rPr>
        <w:t xml:space="preserve"> 42</w:t>
      </w:r>
      <w:r w:rsidR="00E7124B">
        <w:rPr>
          <w:rtl/>
        </w:rPr>
        <w:t>–</w:t>
      </w:r>
      <w:r w:rsidR="00E7124B">
        <w:rPr>
          <w:rFonts w:hint="cs"/>
          <w:rtl/>
        </w:rPr>
        <w:t>82</w:t>
      </w:r>
      <w:r w:rsidR="00442975">
        <w:rPr>
          <w:rFonts w:hint="cs"/>
          <w:rtl/>
        </w:rPr>
        <w:t>.</w:t>
      </w:r>
    </w:p>
  </w:endnote>
  <w:endnote w:id="3">
    <w:p w14:paraId="40594F28" w14:textId="77777777" w:rsidR="00D977F0" w:rsidRDefault="00D977F0" w:rsidP="00E7124B">
      <w:pPr>
        <w:pStyle w:val="ae"/>
      </w:pPr>
      <w:r>
        <w:rPr>
          <w:rStyle w:val="af0"/>
        </w:rPr>
        <w:endnoteRef/>
      </w:r>
      <w:r>
        <w:rPr>
          <w:rtl/>
        </w:rPr>
        <w:t xml:space="preserve"> </w:t>
      </w:r>
      <w:r>
        <w:rPr>
          <w:rFonts w:hint="cs"/>
          <w:rtl/>
        </w:rPr>
        <w:t>למעשה, התורה מצווה בפירוש להתעלם מ</w:t>
      </w:r>
      <w:r w:rsidR="00E7124B">
        <w:rPr>
          <w:rFonts w:hint="cs"/>
          <w:rtl/>
        </w:rPr>
        <w:t>ן הרקע האישי</w:t>
      </w:r>
      <w:r>
        <w:rPr>
          <w:rFonts w:hint="cs"/>
          <w:rtl/>
        </w:rPr>
        <w:t xml:space="preserve"> של הנידון</w:t>
      </w:r>
      <w:r w:rsidR="00E7124B">
        <w:rPr>
          <w:rFonts w:hint="cs"/>
          <w:rtl/>
        </w:rPr>
        <w:t>, וכלשונה:</w:t>
      </w:r>
      <w:r>
        <w:rPr>
          <w:rFonts w:hint="cs"/>
          <w:rtl/>
        </w:rPr>
        <w:t xml:space="preserve"> "</w:t>
      </w:r>
      <w:r w:rsidR="00E7124B">
        <w:rPr>
          <w:rFonts w:hint="cs"/>
          <w:rtl/>
        </w:rPr>
        <w:t xml:space="preserve">לא </w:t>
      </w:r>
      <w:proofErr w:type="spellStart"/>
      <w:r w:rsidRPr="00D977F0">
        <w:rPr>
          <w:rtl/>
        </w:rPr>
        <w:t>תִשָּׂא</w:t>
      </w:r>
      <w:proofErr w:type="spellEnd"/>
      <w:r w:rsidRPr="00D977F0">
        <w:rPr>
          <w:rtl/>
        </w:rPr>
        <w:t xml:space="preserve"> </w:t>
      </w:r>
      <w:r w:rsidR="00E7124B">
        <w:rPr>
          <w:rFonts w:hint="cs"/>
          <w:rtl/>
        </w:rPr>
        <w:t xml:space="preserve">פני דל ולא תהדר פני גדול; בצדק </w:t>
      </w:r>
      <w:proofErr w:type="spellStart"/>
      <w:r w:rsidR="00E7124B">
        <w:rPr>
          <w:rFonts w:hint="cs"/>
          <w:rtl/>
        </w:rPr>
        <w:t>תשפֹּט</w:t>
      </w:r>
      <w:proofErr w:type="spellEnd"/>
      <w:r w:rsidR="00E7124B">
        <w:rPr>
          <w:rFonts w:hint="cs"/>
          <w:rtl/>
        </w:rPr>
        <w:t xml:space="preserve"> עמיתך</w:t>
      </w:r>
      <w:r>
        <w:rPr>
          <w:rFonts w:hint="cs"/>
          <w:rtl/>
        </w:rPr>
        <w:t>"</w:t>
      </w:r>
      <w:r w:rsidR="00E7124B">
        <w:rPr>
          <w:rFonts w:hint="cs"/>
          <w:rtl/>
        </w:rPr>
        <w:t xml:space="preserve"> (ויקרא </w:t>
      </w:r>
      <w:proofErr w:type="spellStart"/>
      <w:r w:rsidR="00E7124B">
        <w:rPr>
          <w:rFonts w:hint="cs"/>
          <w:rtl/>
        </w:rPr>
        <w:t>יט</w:t>
      </w:r>
      <w:proofErr w:type="spellEnd"/>
      <w:r w:rsidR="00E7124B">
        <w:rPr>
          <w:rFonts w:hint="cs"/>
          <w:rtl/>
        </w:rPr>
        <w:t>, טו)</w:t>
      </w:r>
      <w:r>
        <w:rPr>
          <w:rFonts w:hint="cs"/>
          <w:rtl/>
        </w:rPr>
        <w:t>.</w:t>
      </w:r>
      <w:r w:rsidR="00E7124B">
        <w:rPr>
          <w:rFonts w:hint="cs"/>
          <w:rtl/>
        </w:rPr>
        <w:t xml:space="preserve"> כפי שנראה מלשונו של הרמב"ם (משנה תורה, </w:t>
      </w:r>
      <w:r w:rsidR="003D0E6B">
        <w:rPr>
          <w:rFonts w:hint="cs"/>
          <w:rtl/>
        </w:rPr>
        <w:t>הלכות סנהדרין</w:t>
      </w:r>
      <w:r w:rsidR="00E7124B">
        <w:rPr>
          <w:rFonts w:hint="cs"/>
          <w:rtl/>
        </w:rPr>
        <w:t>,</w:t>
      </w:r>
      <w:r w:rsidR="003D0E6B">
        <w:rPr>
          <w:rFonts w:hint="cs"/>
          <w:rtl/>
        </w:rPr>
        <w:t xml:space="preserve"> פרק כ</w:t>
      </w:r>
      <w:r w:rsidR="00E7124B">
        <w:rPr>
          <w:rFonts w:hint="cs"/>
          <w:rtl/>
        </w:rPr>
        <w:t>,</w:t>
      </w:r>
      <w:r w:rsidR="003D0E6B">
        <w:rPr>
          <w:rFonts w:hint="cs"/>
          <w:rtl/>
        </w:rPr>
        <w:t xml:space="preserve"> הלכה ד</w:t>
      </w:r>
      <w:r w:rsidR="00E7124B">
        <w:rPr>
          <w:rFonts w:hint="cs"/>
          <w:rtl/>
        </w:rPr>
        <w:t>)</w:t>
      </w:r>
      <w:r w:rsidR="003D0E6B">
        <w:rPr>
          <w:rFonts w:hint="cs"/>
          <w:rtl/>
        </w:rPr>
        <w:t>, איסור זה מתייחס הן לדיני ממונות</w:t>
      </w:r>
      <w:r w:rsidR="00E7124B">
        <w:rPr>
          <w:rFonts w:hint="cs"/>
          <w:rtl/>
        </w:rPr>
        <w:t>,</w:t>
      </w:r>
      <w:r w:rsidR="003D0E6B">
        <w:rPr>
          <w:rFonts w:hint="cs"/>
          <w:rtl/>
        </w:rPr>
        <w:t xml:space="preserve"> הן לדיני נפשות (</w:t>
      </w:r>
      <w:r w:rsidR="00E7124B">
        <w:rPr>
          <w:rFonts w:hint="cs"/>
          <w:rtl/>
        </w:rPr>
        <w:t xml:space="preserve">שהם סוג מסוים של </w:t>
      </w:r>
      <w:r w:rsidR="003D0E6B">
        <w:rPr>
          <w:rFonts w:hint="cs"/>
          <w:rtl/>
        </w:rPr>
        <w:t>הדין הפלילי).</w:t>
      </w:r>
    </w:p>
  </w:endnote>
  <w:endnote w:id="4">
    <w:p w14:paraId="3D3E8F91" w14:textId="04B15D11" w:rsidR="00BE0061" w:rsidRDefault="00BE0061" w:rsidP="00E7124B">
      <w:pPr>
        <w:pStyle w:val="ae"/>
        <w:rPr>
          <w:rtl/>
        </w:rPr>
      </w:pPr>
      <w:r>
        <w:rPr>
          <w:rStyle w:val="af0"/>
        </w:rPr>
        <w:endnoteRef/>
      </w:r>
      <w:r>
        <w:rPr>
          <w:rtl/>
        </w:rPr>
        <w:t xml:space="preserve"> </w:t>
      </w:r>
      <w:r w:rsidR="00E7124B">
        <w:rPr>
          <w:rFonts w:hint="cs"/>
          <w:rtl/>
        </w:rPr>
        <w:t>ראו במעשה המאלף המובא בתלמוד (</w:t>
      </w:r>
      <w:r>
        <w:rPr>
          <w:rFonts w:hint="cs"/>
          <w:rtl/>
        </w:rPr>
        <w:t>ברכות י ע"א</w:t>
      </w:r>
      <w:r w:rsidR="00E7124B">
        <w:rPr>
          <w:rFonts w:hint="cs"/>
          <w:rtl/>
        </w:rPr>
        <w:t>, מתורגם)</w:t>
      </w:r>
      <w:r>
        <w:rPr>
          <w:rFonts w:hint="cs"/>
          <w:rtl/>
        </w:rPr>
        <w:t xml:space="preserve">: </w:t>
      </w:r>
      <w:r w:rsidR="00E7124B">
        <w:rPr>
          <w:rFonts w:hint="cs"/>
          <w:rtl/>
        </w:rPr>
        <w:t>"</w:t>
      </w:r>
      <w:r w:rsidRPr="00BE0061">
        <w:rPr>
          <w:rtl/>
        </w:rPr>
        <w:t xml:space="preserve">אותם בריונים שהיו בשכנותו של ר' מאיר, והיו מצערים אותו הרבה. היה מבקש עליהם ר' מאיר שימותו. </w:t>
      </w:r>
      <w:r w:rsidR="00E7124B">
        <w:rPr>
          <w:rtl/>
        </w:rPr>
        <w:t xml:space="preserve">אמרה לו ברוריה אשתו: מה דעתך? משום שכתוב </w:t>
      </w:r>
      <w:r w:rsidR="00E7124B">
        <w:rPr>
          <w:rFonts w:hint="cs"/>
          <w:rtl/>
        </w:rPr>
        <w:t>'</w:t>
      </w:r>
      <w:r w:rsidR="00E7124B">
        <w:rPr>
          <w:rtl/>
        </w:rPr>
        <w:t>יתמו חטאים</w:t>
      </w:r>
      <w:r w:rsidR="00E7124B">
        <w:rPr>
          <w:rFonts w:hint="cs"/>
          <w:rtl/>
        </w:rPr>
        <w:t>'?!</w:t>
      </w:r>
      <w:r w:rsidRPr="00BE0061">
        <w:rPr>
          <w:rtl/>
        </w:rPr>
        <w:t xml:space="preserve"> האם כתוב חוטאים?! חטאים כתוב</w:t>
      </w:r>
      <w:r>
        <w:rPr>
          <w:rFonts w:hint="cs"/>
          <w:rtl/>
        </w:rPr>
        <w:t>! ..</w:t>
      </w:r>
      <w:r w:rsidRPr="00BE0061">
        <w:rPr>
          <w:rtl/>
        </w:rPr>
        <w:t>.  ביקש רחמים עליהם וחזרו בתשובה</w:t>
      </w:r>
      <w:r w:rsidR="00E7124B">
        <w:rPr>
          <w:rFonts w:hint="cs"/>
          <w:rtl/>
        </w:rPr>
        <w:t>"</w:t>
      </w:r>
      <w:r w:rsidRPr="00BE0061">
        <w:rPr>
          <w:rtl/>
        </w:rPr>
        <w:t>.</w:t>
      </w:r>
      <w:r w:rsidR="00E7124B">
        <w:rPr>
          <w:rFonts w:hint="cs"/>
          <w:rtl/>
        </w:rPr>
        <w:t xml:space="preserve"> </w:t>
      </w:r>
      <w:r w:rsidR="001835B9" w:rsidRPr="001835B9">
        <w:rPr>
          <w:rtl/>
        </w:rPr>
        <w:t>גם הקב"ה בעצמו, שופט</w:t>
      </w:r>
      <w:r w:rsidR="00E7124B">
        <w:rPr>
          <w:rtl/>
        </w:rPr>
        <w:t xml:space="preserve"> כל הארץ</w:t>
      </w:r>
      <w:r w:rsidR="001835B9" w:rsidRPr="001835B9">
        <w:rPr>
          <w:rtl/>
        </w:rPr>
        <w:t xml:space="preserve"> </w:t>
      </w:r>
      <w:r w:rsidR="00E7124B">
        <w:rPr>
          <w:rtl/>
        </w:rPr>
        <w:t>–</w:t>
      </w:r>
      <w:r w:rsidR="00E7124B">
        <w:rPr>
          <w:rFonts w:hint="cs"/>
          <w:rtl/>
        </w:rPr>
        <w:t xml:space="preserve"> שעליו </w:t>
      </w:r>
      <w:r w:rsidR="001835B9" w:rsidRPr="001835B9">
        <w:rPr>
          <w:rtl/>
        </w:rPr>
        <w:t>נאמר "</w:t>
      </w:r>
      <w:r w:rsidR="00E7124B">
        <w:rPr>
          <w:rFonts w:hint="cs"/>
          <w:rtl/>
        </w:rPr>
        <w:t xml:space="preserve">הצור תמים </w:t>
      </w:r>
      <w:r w:rsidR="001835B9" w:rsidRPr="001835B9">
        <w:rPr>
          <w:rtl/>
        </w:rPr>
        <w:t>פָּעֳלוֹ</w:t>
      </w:r>
      <w:r w:rsidR="00E7124B">
        <w:rPr>
          <w:rFonts w:hint="cs"/>
          <w:rtl/>
        </w:rPr>
        <w:t xml:space="preserve"> כי כל דרכיו משפט א</w:t>
      </w:r>
      <w:r w:rsidR="00E7124B">
        <w:rPr>
          <w:rFonts w:hint="eastAsia"/>
          <w:rtl/>
        </w:rPr>
        <w:t xml:space="preserve">־ל אמונה ואין </w:t>
      </w:r>
      <w:r w:rsidR="001835B9" w:rsidRPr="001835B9">
        <w:rPr>
          <w:rtl/>
        </w:rPr>
        <w:t xml:space="preserve">עָוֶל </w:t>
      </w:r>
      <w:r w:rsidR="00E7124B">
        <w:rPr>
          <w:rFonts w:hint="cs"/>
          <w:rtl/>
        </w:rPr>
        <w:t>צדיק וישר הוא</w:t>
      </w:r>
      <w:r w:rsidR="00E7124B">
        <w:rPr>
          <w:rtl/>
        </w:rPr>
        <w:t>" (דברים ל</w:t>
      </w:r>
      <w:r w:rsidR="001835B9" w:rsidRPr="001835B9">
        <w:rPr>
          <w:rtl/>
        </w:rPr>
        <w:t>ב</w:t>
      </w:r>
      <w:r w:rsidR="00E7124B">
        <w:rPr>
          <w:rFonts w:hint="cs"/>
          <w:rtl/>
        </w:rPr>
        <w:t xml:space="preserve">, </w:t>
      </w:r>
      <w:r w:rsidR="001835B9" w:rsidRPr="001835B9">
        <w:rPr>
          <w:rtl/>
        </w:rPr>
        <w:t>ד)</w:t>
      </w:r>
      <w:r w:rsidR="00E7124B">
        <w:rPr>
          <w:rFonts w:hint="cs"/>
          <w:rtl/>
        </w:rPr>
        <w:t xml:space="preserve"> </w:t>
      </w:r>
      <w:r w:rsidR="00E7124B">
        <w:rPr>
          <w:rtl/>
        </w:rPr>
        <w:t>–</w:t>
      </w:r>
      <w:r w:rsidR="001835B9" w:rsidRPr="001835B9">
        <w:rPr>
          <w:rtl/>
        </w:rPr>
        <w:t xml:space="preserve"> מעדיף את שיקומם של </w:t>
      </w:r>
      <w:r w:rsidR="00E7124B">
        <w:rPr>
          <w:rFonts w:hint="cs"/>
          <w:rtl/>
        </w:rPr>
        <w:t>ה</w:t>
      </w:r>
      <w:r w:rsidR="001835B9" w:rsidRPr="001835B9">
        <w:rPr>
          <w:rtl/>
        </w:rPr>
        <w:t xml:space="preserve">פושעים על פני הענשתם באופן </w:t>
      </w:r>
      <w:proofErr w:type="spellStart"/>
      <w:r w:rsidR="001835B9" w:rsidRPr="001835B9">
        <w:rPr>
          <w:rtl/>
        </w:rPr>
        <w:t>מיידי</w:t>
      </w:r>
      <w:proofErr w:type="spellEnd"/>
      <w:r w:rsidR="001835B9" w:rsidRPr="001835B9">
        <w:rPr>
          <w:rtl/>
        </w:rPr>
        <w:t xml:space="preserve"> ומוחלט</w:t>
      </w:r>
      <w:r w:rsidR="00E7124B">
        <w:rPr>
          <w:rFonts w:hint="cs"/>
          <w:rtl/>
        </w:rPr>
        <w:t>, וכלשון הנביא:</w:t>
      </w:r>
      <w:r w:rsidR="001835B9" w:rsidRPr="001835B9">
        <w:rPr>
          <w:rtl/>
        </w:rPr>
        <w:t xml:space="preserve"> "חַי </w:t>
      </w:r>
      <w:r w:rsidR="00E7124B">
        <w:rPr>
          <w:rFonts w:hint="cs"/>
          <w:rtl/>
        </w:rPr>
        <w:t>אני</w:t>
      </w:r>
      <w:r w:rsidR="001835B9" w:rsidRPr="001835B9">
        <w:rPr>
          <w:rtl/>
        </w:rPr>
        <w:t xml:space="preserve"> נְאֻם ה',</w:t>
      </w:r>
      <w:r w:rsidR="00E7124B">
        <w:rPr>
          <w:rFonts w:hint="cs"/>
          <w:rtl/>
        </w:rPr>
        <w:t xml:space="preserve"> אם </w:t>
      </w:r>
      <w:proofErr w:type="spellStart"/>
      <w:r w:rsidR="001835B9" w:rsidRPr="001835B9">
        <w:rPr>
          <w:rtl/>
        </w:rPr>
        <w:t>אֶחְפֹּץ</w:t>
      </w:r>
      <w:proofErr w:type="spellEnd"/>
      <w:r w:rsidR="001835B9" w:rsidRPr="001835B9">
        <w:rPr>
          <w:rtl/>
        </w:rPr>
        <w:t xml:space="preserve"> </w:t>
      </w:r>
      <w:r w:rsidR="00E7124B">
        <w:rPr>
          <w:rFonts w:hint="cs"/>
          <w:rtl/>
        </w:rPr>
        <w:t>במות הרשע כי אם בשוּב</w:t>
      </w:r>
      <w:r w:rsidR="001835B9" w:rsidRPr="001835B9">
        <w:rPr>
          <w:rtl/>
        </w:rPr>
        <w:t xml:space="preserve"> </w:t>
      </w:r>
      <w:r w:rsidR="00E7124B">
        <w:rPr>
          <w:rFonts w:hint="cs"/>
          <w:rtl/>
        </w:rPr>
        <w:t xml:space="preserve">רשע מדרכו </w:t>
      </w:r>
      <w:r w:rsidR="00E7124B">
        <w:rPr>
          <w:rtl/>
        </w:rPr>
        <w:t>וְחָיָה" (יחזקאל ל</w:t>
      </w:r>
      <w:r w:rsidR="001835B9" w:rsidRPr="001835B9">
        <w:rPr>
          <w:rtl/>
        </w:rPr>
        <w:t>ג,</w:t>
      </w:r>
      <w:r w:rsidR="00E7124B">
        <w:rPr>
          <w:rFonts w:hint="cs"/>
          <w:rtl/>
        </w:rPr>
        <w:t xml:space="preserve"> </w:t>
      </w:r>
      <w:r w:rsidR="00E7124B">
        <w:rPr>
          <w:rtl/>
        </w:rPr>
        <w:t>יא)</w:t>
      </w:r>
      <w:r w:rsidR="00E7124B">
        <w:rPr>
          <w:rFonts w:hint="cs"/>
          <w:rtl/>
        </w:rPr>
        <w:t>.</w:t>
      </w:r>
      <w:r w:rsidR="00E7124B">
        <w:rPr>
          <w:rtl/>
        </w:rPr>
        <w:t xml:space="preserve"> </w:t>
      </w:r>
      <w:r w:rsidR="00E7124B">
        <w:rPr>
          <w:rFonts w:hint="cs"/>
          <w:rtl/>
        </w:rPr>
        <w:t>ודאי אפוא ש</w:t>
      </w:r>
      <w:r w:rsidR="001835B9" w:rsidRPr="001835B9">
        <w:rPr>
          <w:rtl/>
        </w:rPr>
        <w:t xml:space="preserve">כל </w:t>
      </w:r>
      <w:r w:rsidR="00E7124B">
        <w:rPr>
          <w:rtl/>
        </w:rPr>
        <w:t xml:space="preserve">עוד אין מדובר בחטא חוזר ונשנה, </w:t>
      </w:r>
      <w:r w:rsidR="00E7124B">
        <w:rPr>
          <w:rFonts w:hint="cs"/>
          <w:rtl/>
        </w:rPr>
        <w:t xml:space="preserve">יש לתת </w:t>
      </w:r>
      <w:r w:rsidR="00B04984">
        <w:rPr>
          <w:rFonts w:hint="cs"/>
          <w:rtl/>
        </w:rPr>
        <w:t>ל</w:t>
      </w:r>
      <w:bookmarkStart w:id="0" w:name="_GoBack"/>
      <w:bookmarkEnd w:id="0"/>
      <w:r w:rsidR="00E7124B">
        <w:rPr>
          <w:rFonts w:hint="cs"/>
          <w:rtl/>
        </w:rPr>
        <w:t xml:space="preserve">חוטא </w:t>
      </w:r>
      <w:r w:rsidR="001835B9" w:rsidRPr="001835B9">
        <w:rPr>
          <w:rtl/>
        </w:rPr>
        <w:t>הזדמנות לתיקון עצמי.</w:t>
      </w:r>
    </w:p>
  </w:endnote>
  <w:endnote w:id="5">
    <w:p w14:paraId="241685F1" w14:textId="77777777" w:rsidR="00E7124B" w:rsidRDefault="00E7124B" w:rsidP="00E7124B">
      <w:pPr>
        <w:pStyle w:val="ae"/>
      </w:pPr>
      <w:r>
        <w:rPr>
          <w:rStyle w:val="af0"/>
        </w:rPr>
        <w:endnoteRef/>
      </w:r>
      <w:r>
        <w:rPr>
          <w:rtl/>
        </w:rPr>
        <w:t xml:space="preserve"> </w:t>
      </w:r>
      <w:r>
        <w:rPr>
          <w:rFonts w:hint="cs"/>
          <w:rtl/>
        </w:rPr>
        <w:t xml:space="preserve">כלשון </w:t>
      </w:r>
      <w:proofErr w:type="spellStart"/>
      <w:r>
        <w:rPr>
          <w:rFonts w:hint="cs"/>
          <w:rtl/>
        </w:rPr>
        <w:t>הרמ"א</w:t>
      </w:r>
      <w:proofErr w:type="spellEnd"/>
      <w:r>
        <w:rPr>
          <w:rFonts w:hint="cs"/>
          <w:rtl/>
        </w:rPr>
        <w:t xml:space="preserve"> (שולחן ערוך, חושן משפט, סימן ב, סעיף א): "</w:t>
      </w:r>
      <w:r w:rsidRPr="00442975">
        <w:rPr>
          <w:rtl/>
        </w:rPr>
        <w:t xml:space="preserve">וכן </w:t>
      </w:r>
      <w:proofErr w:type="spellStart"/>
      <w:r w:rsidRPr="00442975">
        <w:rPr>
          <w:rtl/>
        </w:rPr>
        <w:t>נוהגין</w:t>
      </w:r>
      <w:proofErr w:type="spellEnd"/>
      <w:r w:rsidRPr="00442975">
        <w:rPr>
          <w:rtl/>
        </w:rPr>
        <w:t xml:space="preserve"> בכל מקום שטובי העיר בעירן כב</w:t>
      </w:r>
      <w:r>
        <w:rPr>
          <w:rFonts w:hint="cs"/>
          <w:rtl/>
        </w:rPr>
        <w:t>ית דין</w:t>
      </w:r>
      <w:r w:rsidRPr="00442975">
        <w:rPr>
          <w:rtl/>
        </w:rPr>
        <w:t xml:space="preserve"> הגדול, מכין </w:t>
      </w:r>
      <w:proofErr w:type="spellStart"/>
      <w:r w:rsidRPr="00442975">
        <w:rPr>
          <w:rtl/>
        </w:rPr>
        <w:t>ועונשין</w:t>
      </w:r>
      <w:proofErr w:type="spellEnd"/>
      <w:r w:rsidRPr="00442975">
        <w:rPr>
          <w:rtl/>
        </w:rPr>
        <w:t>, והפקרן הפקר כפי המנהג</w:t>
      </w:r>
      <w:r>
        <w:rPr>
          <w:rFonts w:hint="cs"/>
          <w:rtl/>
        </w:rPr>
        <w:t xml:space="preserve">". להרחבה נוספת ראה הרב יעקב אריאל, שו"ת </w:t>
      </w:r>
      <w:proofErr w:type="spellStart"/>
      <w:r>
        <w:rPr>
          <w:rFonts w:hint="cs"/>
          <w:rtl/>
        </w:rPr>
        <w:t>באהלה</w:t>
      </w:r>
      <w:proofErr w:type="spellEnd"/>
      <w:r>
        <w:rPr>
          <w:rFonts w:hint="cs"/>
          <w:rtl/>
        </w:rPr>
        <w:t xml:space="preserve"> של תורה חלק ד, סימן טו.</w:t>
      </w:r>
    </w:p>
  </w:endnote>
  <w:endnote w:id="6">
    <w:p w14:paraId="0F1D4758" w14:textId="77777777" w:rsidR="00F56111" w:rsidRDefault="00F56111" w:rsidP="00E7124B">
      <w:pPr>
        <w:pStyle w:val="ae"/>
        <w:rPr>
          <w:rtl/>
        </w:rPr>
      </w:pPr>
      <w:r>
        <w:rPr>
          <w:rStyle w:val="af0"/>
        </w:rPr>
        <w:endnoteRef/>
      </w:r>
      <w:r>
        <w:rPr>
          <w:rtl/>
        </w:rPr>
        <w:t xml:space="preserve"> </w:t>
      </w:r>
      <w:r w:rsidR="00E7124B">
        <w:rPr>
          <w:rFonts w:hint="cs"/>
          <w:rtl/>
        </w:rPr>
        <w:t>ראה מאמרה של ד"ר נעמה סט, '</w:t>
      </w:r>
      <w:r w:rsidRPr="00F56111">
        <w:rPr>
          <w:rtl/>
        </w:rPr>
        <w:t>על נגישות למשפט כיסוד לדין צדק</w:t>
      </w:r>
      <w:r w:rsidR="00E7124B">
        <w:rPr>
          <w:rFonts w:hint="cs"/>
          <w:rtl/>
        </w:rPr>
        <w:t>'</w:t>
      </w:r>
      <w:r>
        <w:rPr>
          <w:rFonts w:hint="cs"/>
          <w:rtl/>
        </w:rPr>
        <w:t>, דף שבועי</w:t>
      </w:r>
      <w:r w:rsidR="00E7124B">
        <w:rPr>
          <w:rFonts w:hint="cs"/>
          <w:rtl/>
        </w:rPr>
        <w:t xml:space="preserve"> </w:t>
      </w:r>
      <w:r w:rsidR="00E7124B">
        <w:rPr>
          <w:rtl/>
        </w:rPr>
        <w:t>–</w:t>
      </w:r>
      <w:r w:rsidR="00E7124B">
        <w:rPr>
          <w:rFonts w:hint="cs"/>
          <w:rtl/>
        </w:rPr>
        <w:t xml:space="preserve"> אוניברסיטת </w:t>
      </w:r>
      <w:proofErr w:type="spellStart"/>
      <w:r w:rsidR="00E7124B">
        <w:rPr>
          <w:rFonts w:hint="cs"/>
          <w:rtl/>
        </w:rPr>
        <w:t>בר</w:t>
      </w:r>
      <w:r w:rsidR="00E7124B">
        <w:rPr>
          <w:rFonts w:hint="eastAsia"/>
          <w:rtl/>
        </w:rPr>
        <w:t>־אילן</w:t>
      </w:r>
      <w:proofErr w:type="spellEnd"/>
      <w:r w:rsidR="00E7124B">
        <w:rPr>
          <w:rFonts w:hint="eastAsia"/>
          <w:rtl/>
        </w:rPr>
        <w:t>,</w:t>
      </w:r>
      <w:r>
        <w:rPr>
          <w:rFonts w:hint="cs"/>
          <w:rtl/>
        </w:rPr>
        <w:t xml:space="preserve"> </w:t>
      </w:r>
      <w:r w:rsidR="00E7124B">
        <w:rPr>
          <w:rFonts w:hint="cs"/>
          <w:rtl/>
        </w:rPr>
        <w:t xml:space="preserve">גיליון </w:t>
      </w:r>
      <w:r>
        <w:rPr>
          <w:rFonts w:hint="cs"/>
          <w:rtl/>
        </w:rPr>
        <w:t>954</w:t>
      </w:r>
      <w:r w:rsidR="00E7124B">
        <w:rPr>
          <w:rFonts w:hint="cs"/>
          <w:rtl/>
        </w:rPr>
        <w:t xml:space="preserve"> (פרשת משפטים </w:t>
      </w:r>
      <w:r>
        <w:rPr>
          <w:rFonts w:hint="cs"/>
          <w:rtl/>
        </w:rPr>
        <w:t>תשע"ב</w:t>
      </w:r>
      <w:r w:rsidR="00E7124B">
        <w:rPr>
          <w:rFonts w:hint="cs"/>
          <w:rtl/>
        </w:rPr>
        <w:t>)</w:t>
      </w:r>
      <w:r>
        <w:rPr>
          <w:rFonts w:hint="cs"/>
          <w:rtl/>
        </w:rPr>
        <w:t>.</w:t>
      </w:r>
    </w:p>
  </w:endnote>
  <w:endnote w:id="7">
    <w:p w14:paraId="7146B7CF" w14:textId="77777777" w:rsidR="00D521ED" w:rsidRDefault="00D521ED" w:rsidP="00E7124B">
      <w:pPr>
        <w:pStyle w:val="ae"/>
      </w:pPr>
      <w:r>
        <w:rPr>
          <w:rStyle w:val="af0"/>
        </w:rPr>
        <w:endnoteRef/>
      </w:r>
      <w:r>
        <w:rPr>
          <w:rtl/>
        </w:rPr>
        <w:t xml:space="preserve"> </w:t>
      </w:r>
      <w:r w:rsidR="00E7124B">
        <w:rPr>
          <w:rFonts w:hint="cs"/>
          <w:rtl/>
        </w:rPr>
        <w:t xml:space="preserve">מדין תורה יש לציין את האמור לגבי </w:t>
      </w:r>
      <w:r w:rsidR="002C5A5B">
        <w:rPr>
          <w:rFonts w:hint="cs"/>
          <w:rtl/>
        </w:rPr>
        <w:t>היתר לק</w:t>
      </w:r>
      <w:r w:rsidR="00E7124B">
        <w:rPr>
          <w:rFonts w:hint="cs"/>
          <w:rtl/>
        </w:rPr>
        <w:t>יחתה של אשת יפת תואר</w:t>
      </w:r>
      <w:r w:rsidR="002C5A5B">
        <w:rPr>
          <w:rFonts w:hint="cs"/>
          <w:rtl/>
        </w:rPr>
        <w:t xml:space="preserve"> </w:t>
      </w:r>
      <w:r w:rsidR="00E7124B">
        <w:rPr>
          <w:rFonts w:hint="cs"/>
          <w:rtl/>
        </w:rPr>
        <w:t xml:space="preserve">(דברים </w:t>
      </w:r>
      <w:proofErr w:type="spellStart"/>
      <w:r w:rsidR="00E7124B">
        <w:rPr>
          <w:rFonts w:hint="cs"/>
          <w:rtl/>
        </w:rPr>
        <w:t>כ</w:t>
      </w:r>
      <w:r w:rsidR="002C5A5B">
        <w:rPr>
          <w:rFonts w:hint="cs"/>
          <w:rtl/>
        </w:rPr>
        <w:t>ב</w:t>
      </w:r>
      <w:proofErr w:type="spellEnd"/>
      <w:r w:rsidR="002C5A5B">
        <w:rPr>
          <w:rFonts w:hint="cs"/>
          <w:rtl/>
        </w:rPr>
        <w:t>,</w:t>
      </w:r>
      <w:r w:rsidR="00E7124B">
        <w:rPr>
          <w:rFonts w:hint="cs"/>
          <w:rtl/>
        </w:rPr>
        <w:t xml:space="preserve"> </w:t>
      </w:r>
      <w:r w:rsidR="002C5A5B">
        <w:rPr>
          <w:rFonts w:hint="cs"/>
          <w:rtl/>
        </w:rPr>
        <w:t>י</w:t>
      </w:r>
      <w:r w:rsidR="00E7124B">
        <w:rPr>
          <w:rtl/>
        </w:rPr>
        <w:t>–</w:t>
      </w:r>
      <w:r w:rsidR="002C5A5B">
        <w:rPr>
          <w:rFonts w:hint="cs"/>
          <w:rtl/>
        </w:rPr>
        <w:t>יד</w:t>
      </w:r>
      <w:r w:rsidR="00E7124B">
        <w:rPr>
          <w:rFonts w:hint="cs"/>
          <w:rtl/>
        </w:rPr>
        <w:t>); וכן את האמור</w:t>
      </w:r>
      <w:r w:rsidR="002C5A5B" w:rsidRPr="002C5A5B">
        <w:rPr>
          <w:rFonts w:hint="cs"/>
          <w:rtl/>
        </w:rPr>
        <w:t xml:space="preserve"> </w:t>
      </w:r>
      <w:r w:rsidR="002C5A5B">
        <w:rPr>
          <w:rFonts w:hint="cs"/>
          <w:rtl/>
        </w:rPr>
        <w:t>לגבי מאכלות אסורות</w:t>
      </w:r>
      <w:r w:rsidR="00E7124B">
        <w:rPr>
          <w:rFonts w:hint="cs"/>
          <w:rtl/>
        </w:rPr>
        <w:t>:</w:t>
      </w:r>
      <w:r w:rsidR="002C5A5B">
        <w:rPr>
          <w:rFonts w:hint="cs"/>
          <w:rtl/>
        </w:rPr>
        <w:t xml:space="preserve"> "</w:t>
      </w:r>
      <w:r w:rsidR="002C5A5B" w:rsidRPr="00D521ED">
        <w:rPr>
          <w:rtl/>
        </w:rPr>
        <w:t xml:space="preserve">חלוצי צבא כשיכנסו בגבול </w:t>
      </w:r>
      <w:proofErr w:type="spellStart"/>
      <w:r w:rsidR="002C5A5B" w:rsidRPr="00D521ED">
        <w:rPr>
          <w:rtl/>
        </w:rPr>
        <w:t>העכו"ם</w:t>
      </w:r>
      <w:proofErr w:type="spellEnd"/>
      <w:r w:rsidR="002C5A5B" w:rsidRPr="00D521ED">
        <w:rPr>
          <w:rtl/>
        </w:rPr>
        <w:t xml:space="preserve"> ויכבשום וישבו מהן, מותר להן לאכול נבלות וטרפות ובשר חזיר וכיוצא בו, אם ירעב ולא מצא מה יאכל אלא מאכלות אלו האסורים</w:t>
      </w:r>
      <w:r w:rsidR="002C5A5B">
        <w:rPr>
          <w:rFonts w:hint="cs"/>
          <w:rtl/>
        </w:rPr>
        <w:t>" (משנה תורה, הלכות מלכים</w:t>
      </w:r>
      <w:r w:rsidR="00E7124B">
        <w:rPr>
          <w:rFonts w:hint="cs"/>
          <w:rtl/>
        </w:rPr>
        <w:t>,</w:t>
      </w:r>
      <w:r w:rsidR="002C5A5B">
        <w:rPr>
          <w:rFonts w:hint="cs"/>
          <w:rtl/>
        </w:rPr>
        <w:t xml:space="preserve"> פרק ח</w:t>
      </w:r>
      <w:r w:rsidR="00E7124B">
        <w:rPr>
          <w:rFonts w:hint="cs"/>
          <w:rtl/>
        </w:rPr>
        <w:t>,</w:t>
      </w:r>
      <w:r w:rsidR="002C5A5B">
        <w:rPr>
          <w:rFonts w:hint="cs"/>
          <w:rtl/>
        </w:rPr>
        <w:t xml:space="preserve"> הלכה א</w:t>
      </w:r>
      <w:r w:rsidR="00E7124B">
        <w:rPr>
          <w:rFonts w:hint="cs"/>
          <w:rtl/>
        </w:rPr>
        <w:t xml:space="preserve">). בדבריו על אתר הדגיש ר' יוסף קארו כי </w:t>
      </w:r>
      <w:r w:rsidR="002C5A5B">
        <w:rPr>
          <w:rFonts w:hint="cs"/>
          <w:rtl/>
        </w:rPr>
        <w:t>"</w:t>
      </w:r>
      <w:r w:rsidR="002C5A5B" w:rsidRPr="00D521ED">
        <w:rPr>
          <w:rtl/>
        </w:rPr>
        <w:t xml:space="preserve">אין כוונתו </w:t>
      </w:r>
      <w:r w:rsidR="00E7124B">
        <w:rPr>
          <w:rFonts w:hint="cs"/>
          <w:rtl/>
        </w:rPr>
        <w:t xml:space="preserve">[של הרמב"ם] </w:t>
      </w:r>
      <w:r w:rsidR="002C5A5B" w:rsidRPr="00D521ED">
        <w:rPr>
          <w:rtl/>
        </w:rPr>
        <w:t xml:space="preserve">במי שהוא מסוכן מחמת רעבון </w:t>
      </w:r>
      <w:proofErr w:type="spellStart"/>
      <w:r w:rsidR="002C5A5B" w:rsidRPr="00D521ED">
        <w:rPr>
          <w:rtl/>
        </w:rPr>
        <w:t>דהא</w:t>
      </w:r>
      <w:proofErr w:type="spellEnd"/>
      <w:r w:rsidR="002C5A5B" w:rsidRPr="00D521ED">
        <w:rPr>
          <w:rtl/>
        </w:rPr>
        <w:t xml:space="preserve"> פשיטא ואפילו אינו מחלוצי צבא </w:t>
      </w:r>
      <w:proofErr w:type="spellStart"/>
      <w:r w:rsidR="002C5A5B" w:rsidRPr="00D521ED">
        <w:rPr>
          <w:rtl/>
        </w:rPr>
        <w:t>נמי</w:t>
      </w:r>
      <w:proofErr w:type="spellEnd"/>
      <w:r w:rsidR="002C5A5B" w:rsidRPr="00D521ED">
        <w:rPr>
          <w:rtl/>
        </w:rPr>
        <w:t xml:space="preserve"> אלא כשתאב לאכול ולא שכיח ליה </w:t>
      </w:r>
      <w:proofErr w:type="spellStart"/>
      <w:r w:rsidR="002C5A5B" w:rsidRPr="00D521ED">
        <w:rPr>
          <w:rtl/>
        </w:rPr>
        <w:t>היתרא</w:t>
      </w:r>
      <w:proofErr w:type="spellEnd"/>
      <w:r w:rsidR="002C5A5B">
        <w:rPr>
          <w:rFonts w:hint="cs"/>
          <w:rtl/>
        </w:rPr>
        <w:t>"</w:t>
      </w:r>
      <w:r w:rsidR="00E7124B">
        <w:rPr>
          <w:rFonts w:hint="cs"/>
          <w:rtl/>
        </w:rPr>
        <w:t>( כסף משנה, שם). מדברי חכמים  יש לציין את האמור במשנה (עירובין א, י):</w:t>
      </w:r>
      <w:r w:rsidR="002C5A5B">
        <w:rPr>
          <w:rFonts w:hint="cs"/>
          <w:rtl/>
        </w:rPr>
        <w:t xml:space="preserve"> </w:t>
      </w:r>
      <w:r>
        <w:rPr>
          <w:rFonts w:hint="cs"/>
          <w:rtl/>
        </w:rPr>
        <w:t>"</w:t>
      </w:r>
      <w:r w:rsidRPr="00D521ED">
        <w:rPr>
          <w:rtl/>
        </w:rPr>
        <w:t xml:space="preserve">ארבעה דברים פטרו במחנה </w:t>
      </w:r>
      <w:r w:rsidR="00E7124B">
        <w:rPr>
          <w:rtl/>
        </w:rPr>
        <w:t>–</w:t>
      </w:r>
      <w:r w:rsidR="00E7124B">
        <w:rPr>
          <w:rFonts w:hint="cs"/>
          <w:rtl/>
        </w:rPr>
        <w:t xml:space="preserve"> </w:t>
      </w:r>
      <w:proofErr w:type="spellStart"/>
      <w:r w:rsidRPr="00D521ED">
        <w:rPr>
          <w:rtl/>
        </w:rPr>
        <w:t>מביאין</w:t>
      </w:r>
      <w:proofErr w:type="spellEnd"/>
      <w:r w:rsidRPr="00D521ED">
        <w:rPr>
          <w:rtl/>
        </w:rPr>
        <w:t xml:space="preserve"> עצים מכל מקום ופטורים מרחיצת </w:t>
      </w:r>
      <w:proofErr w:type="spellStart"/>
      <w:r w:rsidRPr="00D521ED">
        <w:rPr>
          <w:rtl/>
        </w:rPr>
        <w:t>ידים</w:t>
      </w:r>
      <w:proofErr w:type="spellEnd"/>
      <w:r w:rsidRPr="00D521ED">
        <w:rPr>
          <w:rtl/>
        </w:rPr>
        <w:t xml:space="preserve"> ומדמאי ומלערב</w:t>
      </w:r>
      <w:r>
        <w:rPr>
          <w:rFonts w:hint="cs"/>
          <w:rtl/>
        </w:rPr>
        <w:t>"</w:t>
      </w:r>
      <w:r w:rsidR="00E7124B">
        <w:rPr>
          <w:rFonts w:hint="cs"/>
          <w:rtl/>
        </w:rPr>
        <w:t>.</w:t>
      </w:r>
    </w:p>
  </w:endnote>
  <w:endnote w:id="8">
    <w:p w14:paraId="41066CEC" w14:textId="77777777" w:rsidR="00827B1A" w:rsidRDefault="00827B1A" w:rsidP="00827B1A">
      <w:pPr>
        <w:pStyle w:val="ae"/>
        <w:rPr>
          <w:rtl/>
        </w:rPr>
      </w:pPr>
      <w:r>
        <w:rPr>
          <w:rStyle w:val="af0"/>
        </w:rPr>
        <w:endnoteRef/>
      </w:r>
      <w:r>
        <w:rPr>
          <w:rtl/>
        </w:rPr>
        <w:t xml:space="preserve"> </w:t>
      </w:r>
      <w:r w:rsidR="00E7124B">
        <w:rPr>
          <w:rFonts w:hint="cs"/>
          <w:rtl/>
        </w:rPr>
        <w:t xml:space="preserve">כלשון הרמב"ן: </w:t>
      </w:r>
      <w:r>
        <w:rPr>
          <w:rFonts w:hint="cs"/>
          <w:rtl/>
        </w:rPr>
        <w:t>"</w:t>
      </w:r>
      <w:r w:rsidRPr="00827B1A">
        <w:rPr>
          <w:rtl/>
        </w:rPr>
        <w:t>כי הכתוב יזהיר בעת אשר החטא מצוי בו. והידוע במנהגי המחנות היוצאות למלחמה, כי יאכלו כל תועבה, יגזלו ויחמסו ולא יתבוששו אפילו בניאוף וכל נבלה, הישר בבני אדם בטבעו יתלבש אכזריות וחמה כצאת מחנה</w:t>
      </w:r>
      <w:r w:rsidR="00E7124B">
        <w:rPr>
          <w:rtl/>
        </w:rPr>
        <w:t xml:space="preserve"> על אויב. ועל כן הזהיר בו הכתוב</w:t>
      </w:r>
      <w:r w:rsidRPr="00827B1A">
        <w:rPr>
          <w:rtl/>
        </w:rPr>
        <w:t xml:space="preserve"> </w:t>
      </w:r>
      <w:r w:rsidR="00E7124B">
        <w:rPr>
          <w:rFonts w:hint="cs"/>
          <w:rtl/>
        </w:rPr>
        <w:t>'</w:t>
      </w:r>
      <w:r w:rsidRPr="00827B1A">
        <w:rPr>
          <w:rtl/>
        </w:rPr>
        <w:t>ונשמרת מכל דבר רע</w:t>
      </w:r>
      <w:r w:rsidR="00E7124B">
        <w:rPr>
          <w:rFonts w:hint="cs"/>
          <w:rtl/>
        </w:rPr>
        <w:t>'</w:t>
      </w:r>
      <w:r w:rsidR="00E7124B">
        <w:rPr>
          <w:rFonts w:hint="eastAsia"/>
          <w:rtl/>
        </w:rPr>
        <w:t> </w:t>
      </w:r>
      <w:r>
        <w:rPr>
          <w:rFonts w:hint="cs"/>
          <w:rtl/>
        </w:rPr>
        <w:t>" (פ</w:t>
      </w:r>
      <w:r w:rsidR="00E7124B">
        <w:rPr>
          <w:rFonts w:hint="cs"/>
          <w:rtl/>
        </w:rPr>
        <w:t xml:space="preserve">ירוש הרמב"ן על התורה, דברים </w:t>
      </w:r>
      <w:proofErr w:type="spellStart"/>
      <w:r w:rsidR="00E7124B">
        <w:rPr>
          <w:rFonts w:hint="cs"/>
          <w:rtl/>
        </w:rPr>
        <w:t>כ</w:t>
      </w:r>
      <w:r>
        <w:rPr>
          <w:rFonts w:hint="cs"/>
          <w:rtl/>
        </w:rPr>
        <w:t>ג</w:t>
      </w:r>
      <w:proofErr w:type="spellEnd"/>
      <w:r>
        <w:rPr>
          <w:rFonts w:hint="cs"/>
          <w:rtl/>
        </w:rPr>
        <w:t>,</w:t>
      </w:r>
      <w:r w:rsidR="00E7124B">
        <w:rPr>
          <w:rFonts w:hint="cs"/>
          <w:rtl/>
        </w:rPr>
        <w:t xml:space="preserve"> </w:t>
      </w:r>
      <w:r>
        <w:rPr>
          <w:rFonts w:hint="cs"/>
          <w:rtl/>
        </w:rPr>
        <w:t>י)</w:t>
      </w:r>
    </w:p>
  </w:endnote>
  <w:endnote w:id="9">
    <w:p w14:paraId="2E8D62CA" w14:textId="77777777" w:rsidR="00E70552" w:rsidRDefault="00E70552" w:rsidP="00E7124B">
      <w:pPr>
        <w:pStyle w:val="ae"/>
      </w:pPr>
      <w:r>
        <w:rPr>
          <w:rStyle w:val="af0"/>
        </w:rPr>
        <w:endnoteRef/>
      </w:r>
      <w:r>
        <w:rPr>
          <w:rtl/>
        </w:rPr>
        <w:t xml:space="preserve"> </w:t>
      </w:r>
      <w:r>
        <w:rPr>
          <w:rFonts w:hint="cs"/>
          <w:rtl/>
        </w:rPr>
        <w:t xml:space="preserve">לגבי היתר אשת יפת תואר אמרו </w:t>
      </w:r>
      <w:r w:rsidR="00E7124B">
        <w:rPr>
          <w:rFonts w:hint="cs"/>
          <w:rtl/>
        </w:rPr>
        <w:t>ח</w:t>
      </w:r>
      <w:r>
        <w:rPr>
          <w:rFonts w:hint="cs"/>
          <w:rtl/>
        </w:rPr>
        <w:t>ז"ל: "</w:t>
      </w:r>
      <w:r w:rsidRPr="00E70552">
        <w:rPr>
          <w:rtl/>
        </w:rPr>
        <w:t>לא דברה תורה אלא כנגד יצר הרע, כי מוטב שיאכלו ישראל בשר תמותות שחוטות ואל יאכלו בשר תמותות נבלות</w:t>
      </w:r>
      <w:r>
        <w:rPr>
          <w:rFonts w:hint="cs"/>
          <w:rtl/>
        </w:rPr>
        <w:t>"</w:t>
      </w:r>
      <w:r w:rsidR="00E7124B">
        <w:rPr>
          <w:rFonts w:hint="cs"/>
          <w:rtl/>
        </w:rPr>
        <w:t xml:space="preserve"> (קידושין </w:t>
      </w:r>
      <w:proofErr w:type="spellStart"/>
      <w:r w:rsidR="00E7124B">
        <w:rPr>
          <w:rFonts w:hint="cs"/>
          <w:rtl/>
        </w:rPr>
        <w:t>כא</w:t>
      </w:r>
      <w:proofErr w:type="spellEnd"/>
      <w:r w:rsidR="00E7124B">
        <w:rPr>
          <w:rFonts w:hint="cs"/>
          <w:rtl/>
        </w:rPr>
        <w:t xml:space="preserve"> ע"ב)</w:t>
      </w:r>
      <w:r>
        <w:rPr>
          <w:rFonts w:hint="cs"/>
          <w:rtl/>
        </w:rPr>
        <w:t xml:space="preserve">. מדובר </w:t>
      </w:r>
      <w:r w:rsidR="00E7124B">
        <w:rPr>
          <w:rFonts w:hint="cs"/>
          <w:rtl/>
        </w:rPr>
        <w:t xml:space="preserve">אם כן </w:t>
      </w:r>
      <w:r>
        <w:rPr>
          <w:rFonts w:hint="cs"/>
          <w:rtl/>
        </w:rPr>
        <w:t xml:space="preserve">בהיתר </w:t>
      </w:r>
      <w:r w:rsidR="00E7124B">
        <w:rPr>
          <w:rFonts w:hint="cs"/>
          <w:rtl/>
        </w:rPr>
        <w:t xml:space="preserve">שניתן </w:t>
      </w:r>
      <w:r>
        <w:rPr>
          <w:rFonts w:hint="cs"/>
          <w:rtl/>
        </w:rPr>
        <w:t xml:space="preserve">מתוך הבנה כי האתגרים בתחום זה עלולים להיות </w:t>
      </w:r>
      <w:proofErr w:type="spellStart"/>
      <w:r>
        <w:rPr>
          <w:rFonts w:hint="cs"/>
          <w:rtl/>
        </w:rPr>
        <w:t>בלתי</w:t>
      </w:r>
      <w:r w:rsidR="00E7124B">
        <w:rPr>
          <w:rFonts w:hint="eastAsia"/>
          <w:rtl/>
        </w:rPr>
        <w:t>־</w:t>
      </w:r>
      <w:r>
        <w:rPr>
          <w:rFonts w:hint="cs"/>
          <w:rtl/>
        </w:rPr>
        <w:t>עבירים</w:t>
      </w:r>
      <w:proofErr w:type="spellEnd"/>
      <w:r>
        <w:rPr>
          <w:rFonts w:hint="cs"/>
          <w:rtl/>
        </w:rPr>
        <w:t xml:space="preserve"> </w:t>
      </w:r>
      <w:r w:rsidR="00E7124B">
        <w:rPr>
          <w:rFonts w:hint="cs"/>
          <w:rtl/>
        </w:rPr>
        <w:t xml:space="preserve">בעבור </w:t>
      </w:r>
      <w:r>
        <w:rPr>
          <w:rFonts w:hint="cs"/>
          <w:rtl/>
        </w:rPr>
        <w:t xml:space="preserve">חלק מן החיילים. הרמב"ם </w:t>
      </w:r>
      <w:r w:rsidR="00E7124B">
        <w:rPr>
          <w:rFonts w:hint="cs"/>
          <w:rtl/>
        </w:rPr>
        <w:t xml:space="preserve">(תשובות הרמב"ם, סימן </w:t>
      </w:r>
      <w:proofErr w:type="spellStart"/>
      <w:r w:rsidR="00E7124B">
        <w:rPr>
          <w:rFonts w:hint="cs"/>
          <w:rtl/>
        </w:rPr>
        <w:t>ריא</w:t>
      </w:r>
      <w:proofErr w:type="spellEnd"/>
      <w:r w:rsidR="00E7124B">
        <w:rPr>
          <w:rFonts w:hint="cs"/>
          <w:rtl/>
        </w:rPr>
        <w:t xml:space="preserve">) </w:t>
      </w:r>
      <w:r>
        <w:rPr>
          <w:rFonts w:hint="cs"/>
          <w:rtl/>
        </w:rPr>
        <w:t xml:space="preserve">תולה את היתר מאכלות אסורות </w:t>
      </w:r>
      <w:r w:rsidR="00E7124B">
        <w:rPr>
          <w:rFonts w:hint="cs"/>
          <w:rtl/>
        </w:rPr>
        <w:t>(שהוזכר לעיל</w:t>
      </w:r>
      <w:r>
        <w:rPr>
          <w:rFonts w:hint="cs"/>
          <w:rtl/>
        </w:rPr>
        <w:t xml:space="preserve"> הערה </w:t>
      </w:r>
      <w:r w:rsidR="00E7124B">
        <w:rPr>
          <w:rFonts w:hint="cs"/>
          <w:rtl/>
        </w:rPr>
        <w:t xml:space="preserve">7) באותו הנימוק ממש: </w:t>
      </w:r>
      <w:r w:rsidR="002C5A5B">
        <w:rPr>
          <w:rFonts w:hint="cs"/>
          <w:rtl/>
        </w:rPr>
        <w:t>ד</w:t>
      </w:r>
      <w:r w:rsidR="00E7124B">
        <w:rPr>
          <w:rFonts w:hint="cs"/>
          <w:rtl/>
        </w:rPr>
        <w:t>יברה תורה כנגד היצר</w:t>
      </w:r>
      <w:r w:rsidR="002C5A5B">
        <w:rPr>
          <w:rFonts w:hint="cs"/>
          <w:rtl/>
        </w:rPr>
        <w:t>.</w:t>
      </w:r>
    </w:p>
  </w:endnote>
  <w:endnote w:id="10">
    <w:p w14:paraId="0113BD0C" w14:textId="77777777" w:rsidR="00C50EF0" w:rsidRDefault="00C50EF0" w:rsidP="00E7124B">
      <w:pPr>
        <w:pStyle w:val="ae"/>
        <w:rPr>
          <w:rtl/>
        </w:rPr>
      </w:pPr>
      <w:r>
        <w:rPr>
          <w:rStyle w:val="af0"/>
        </w:rPr>
        <w:endnoteRef/>
      </w:r>
      <w:r>
        <w:rPr>
          <w:rtl/>
        </w:rPr>
        <w:t xml:space="preserve"> </w:t>
      </w:r>
      <w:r w:rsidR="00E7124B">
        <w:rPr>
          <w:rFonts w:hint="cs"/>
          <w:rtl/>
        </w:rPr>
        <w:t>כך ניסח הרמב"ם את ה</w:t>
      </w:r>
      <w:r w:rsidR="00715A4B">
        <w:rPr>
          <w:rFonts w:hint="cs"/>
          <w:rtl/>
        </w:rPr>
        <w:t>הלכה</w:t>
      </w:r>
      <w:r w:rsidR="00E7124B">
        <w:rPr>
          <w:rFonts w:hint="cs"/>
          <w:rtl/>
        </w:rPr>
        <w:t xml:space="preserve"> הקובעת כי </w:t>
      </w:r>
      <w:r w:rsidR="00715A4B" w:rsidRPr="00715A4B">
        <w:rPr>
          <w:rtl/>
        </w:rPr>
        <w:t xml:space="preserve">אדם שהתכוון לקיים מצווה וטעה ועבר עבירה </w:t>
      </w:r>
      <w:r w:rsidR="00715A4B">
        <w:rPr>
          <w:rtl/>
        </w:rPr>
        <w:t>–</w:t>
      </w:r>
      <w:r w:rsidR="00715A4B" w:rsidRPr="00715A4B">
        <w:rPr>
          <w:rtl/>
        </w:rPr>
        <w:t xml:space="preserve"> פטור</w:t>
      </w:r>
      <w:r w:rsidR="00715A4B">
        <w:rPr>
          <w:rFonts w:hint="cs"/>
          <w:rtl/>
        </w:rPr>
        <w:t xml:space="preserve">: </w:t>
      </w:r>
      <w:r>
        <w:rPr>
          <w:rFonts w:hint="cs"/>
          <w:rtl/>
        </w:rPr>
        <w:t>"</w:t>
      </w:r>
      <w:r w:rsidRPr="00C50EF0">
        <w:rPr>
          <w:rtl/>
        </w:rPr>
        <w:t xml:space="preserve">מי שהיו לו שני תינוקות אחד למול בשבת ואחד למול בערב שבת או באחד בשבת ושכח ומל שניהן בשבת, פטור מחטאת שהרי יש לו רשות למול אחד מהן בשבת ושבת דחויה היא אצלו ומצוה עשה אף על פי שהם שני </w:t>
      </w:r>
      <w:proofErr w:type="spellStart"/>
      <w:r w:rsidRPr="00C50EF0">
        <w:rPr>
          <w:rtl/>
        </w:rPr>
        <w:t>גופין</w:t>
      </w:r>
      <w:proofErr w:type="spellEnd"/>
      <w:r w:rsidRPr="00C50EF0">
        <w:rPr>
          <w:rtl/>
        </w:rPr>
        <w:t xml:space="preserve"> הואיל וזמנו בהול אינו מדקדק</w:t>
      </w:r>
      <w:r>
        <w:rPr>
          <w:rFonts w:hint="cs"/>
          <w:rtl/>
        </w:rPr>
        <w:t>" (משנה תורה, הלכות שגגות</w:t>
      </w:r>
      <w:r w:rsidR="00E7124B">
        <w:rPr>
          <w:rFonts w:hint="cs"/>
          <w:rtl/>
        </w:rPr>
        <w:t>,</w:t>
      </w:r>
      <w:r>
        <w:rPr>
          <w:rFonts w:hint="cs"/>
          <w:rtl/>
        </w:rPr>
        <w:t xml:space="preserve"> פרק ב </w:t>
      </w:r>
      <w:r w:rsidR="00E7124B">
        <w:rPr>
          <w:rFonts w:hint="cs"/>
          <w:rtl/>
        </w:rPr>
        <w:t>,</w:t>
      </w:r>
      <w:r>
        <w:rPr>
          <w:rFonts w:hint="cs"/>
          <w:rtl/>
        </w:rPr>
        <w:t>הלכה ח).</w:t>
      </w:r>
      <w:r w:rsidR="00715A4B">
        <w:rPr>
          <w:rFonts w:hint="cs"/>
          <w:rtl/>
        </w:rPr>
        <w:t xml:space="preserve"> הפטור נידון באריכות </w:t>
      </w:r>
      <w:r w:rsidR="00E7124B">
        <w:rPr>
          <w:rFonts w:hint="cs"/>
          <w:rtl/>
        </w:rPr>
        <w:t xml:space="preserve">על ידי ר' חיים עוזר </w:t>
      </w:r>
      <w:proofErr w:type="spellStart"/>
      <w:r w:rsidR="00E7124B">
        <w:rPr>
          <w:rFonts w:hint="cs"/>
          <w:rtl/>
        </w:rPr>
        <w:t>גרודז'ינסקי</w:t>
      </w:r>
      <w:proofErr w:type="spellEnd"/>
      <w:r w:rsidR="00E7124B">
        <w:rPr>
          <w:rFonts w:hint="cs"/>
          <w:rtl/>
        </w:rPr>
        <w:t xml:space="preserve"> (שו"ת </w:t>
      </w:r>
      <w:r w:rsidR="00715A4B">
        <w:rPr>
          <w:rFonts w:hint="cs"/>
          <w:rtl/>
        </w:rPr>
        <w:t>אחיעזר, חלק ג</w:t>
      </w:r>
      <w:r w:rsidR="00E7124B">
        <w:rPr>
          <w:rFonts w:hint="cs"/>
          <w:rtl/>
        </w:rPr>
        <w:t>, סימן פג) אשר מציין</w:t>
      </w:r>
      <w:r w:rsidR="00715A4B">
        <w:rPr>
          <w:rFonts w:hint="cs"/>
          <w:rtl/>
        </w:rPr>
        <w:t xml:space="preserve"> </w:t>
      </w:r>
      <w:r w:rsidR="00E7124B">
        <w:rPr>
          <w:rFonts w:hint="cs"/>
          <w:rtl/>
        </w:rPr>
        <w:t>שני נימוקים עקרוניים לפטור זה:</w:t>
      </w:r>
      <w:r w:rsidR="00715A4B">
        <w:rPr>
          <w:rFonts w:hint="cs"/>
          <w:rtl/>
        </w:rPr>
        <w:t xml:space="preserve"> ראשית, מעשה שיש </w:t>
      </w:r>
      <w:proofErr w:type="spellStart"/>
      <w:r w:rsidR="00715A4B">
        <w:rPr>
          <w:rFonts w:hint="cs"/>
          <w:rtl/>
        </w:rPr>
        <w:t>בו</w:t>
      </w:r>
      <w:r w:rsidR="00E7124B">
        <w:rPr>
          <w:rFonts w:hint="eastAsia"/>
          <w:rtl/>
        </w:rPr>
        <w:t>־</w:t>
      </w:r>
      <w:r w:rsidR="00715A4B">
        <w:rPr>
          <w:rFonts w:hint="cs"/>
          <w:rtl/>
        </w:rPr>
        <w:t>גופו</w:t>
      </w:r>
      <w:proofErr w:type="spellEnd"/>
      <w:r w:rsidR="00715A4B">
        <w:rPr>
          <w:rFonts w:hint="cs"/>
          <w:rtl/>
        </w:rPr>
        <w:t xml:space="preserve"> גם עבירה וגם מצ</w:t>
      </w:r>
      <w:r w:rsidR="00E7124B">
        <w:rPr>
          <w:rFonts w:hint="cs"/>
          <w:rtl/>
        </w:rPr>
        <w:t>ו</w:t>
      </w:r>
      <w:r w:rsidR="00715A4B">
        <w:rPr>
          <w:rFonts w:hint="cs"/>
          <w:rtl/>
        </w:rPr>
        <w:t xml:space="preserve">וה </w:t>
      </w:r>
      <w:r w:rsidR="00E7124B">
        <w:rPr>
          <w:rFonts w:hint="cs"/>
          <w:rtl/>
        </w:rPr>
        <w:t>חמור פחות ממעשה שיש בו רק עבירה</w:t>
      </w:r>
      <w:r w:rsidR="00715A4B">
        <w:rPr>
          <w:rFonts w:hint="cs"/>
          <w:rtl/>
        </w:rPr>
        <w:t xml:space="preserve">; שנית, עובדת היותו של העובר טרוד </w:t>
      </w:r>
      <w:r w:rsidR="00086D03">
        <w:rPr>
          <w:rFonts w:hint="cs"/>
          <w:rtl/>
        </w:rPr>
        <w:t xml:space="preserve">ובהול </w:t>
      </w:r>
      <w:r w:rsidR="00715A4B">
        <w:rPr>
          <w:rFonts w:hint="cs"/>
          <w:rtl/>
        </w:rPr>
        <w:t>בעשיית מצו</w:t>
      </w:r>
      <w:r w:rsidR="00E7124B">
        <w:rPr>
          <w:rFonts w:hint="cs"/>
          <w:rtl/>
        </w:rPr>
        <w:t>ו</w:t>
      </w:r>
      <w:r w:rsidR="00715A4B">
        <w:rPr>
          <w:rFonts w:hint="cs"/>
          <w:rtl/>
        </w:rPr>
        <w:t>ה</w:t>
      </w:r>
      <w:r w:rsidR="00E7124B">
        <w:rPr>
          <w:rFonts w:hint="cs"/>
          <w:rtl/>
        </w:rPr>
        <w:t>,</w:t>
      </w:r>
      <w:r w:rsidR="00715A4B">
        <w:rPr>
          <w:rFonts w:hint="cs"/>
          <w:rtl/>
        </w:rPr>
        <w:t xml:space="preserve"> </w:t>
      </w:r>
      <w:r w:rsidR="00E7124B">
        <w:rPr>
          <w:rFonts w:hint="cs"/>
          <w:rtl/>
        </w:rPr>
        <w:t>יש בה כדי לתרץ במידה מסוי</w:t>
      </w:r>
      <w:r w:rsidR="00086D03">
        <w:rPr>
          <w:rFonts w:hint="cs"/>
          <w:rtl/>
        </w:rPr>
        <w:t xml:space="preserve">מת את חוסר תשומת הלב </w:t>
      </w:r>
      <w:r w:rsidR="00E7124B">
        <w:rPr>
          <w:rFonts w:hint="cs"/>
          <w:rtl/>
        </w:rPr>
        <w:t>שהוביל</w:t>
      </w:r>
      <w:r w:rsidR="00086D03">
        <w:rPr>
          <w:rFonts w:hint="cs"/>
          <w:rtl/>
        </w:rPr>
        <w:t xml:space="preserve"> לחטא.</w:t>
      </w:r>
    </w:p>
  </w:endnote>
  <w:endnote w:id="11">
    <w:p w14:paraId="6D482AC8" w14:textId="77777777" w:rsidR="00086D03" w:rsidRPr="00E7124B" w:rsidRDefault="00086D03" w:rsidP="00E7124B">
      <w:pPr>
        <w:pStyle w:val="ae"/>
        <w:rPr>
          <w:rFonts w:ascii="David" w:hAnsi="David"/>
          <w:rtl/>
        </w:rPr>
      </w:pPr>
      <w:r>
        <w:rPr>
          <w:rStyle w:val="af0"/>
        </w:rPr>
        <w:endnoteRef/>
      </w:r>
      <w:r>
        <w:rPr>
          <w:rtl/>
        </w:rPr>
        <w:t xml:space="preserve"> </w:t>
      </w:r>
      <w:r>
        <w:rPr>
          <w:rFonts w:hint="cs"/>
          <w:rtl/>
        </w:rPr>
        <w:t>על התמורה במעמדו ו</w:t>
      </w:r>
      <w:r w:rsidR="00E7124B">
        <w:rPr>
          <w:rFonts w:hint="cs"/>
          <w:rtl/>
        </w:rPr>
        <w:t>במטרותיו של תסקיר המבחן ראה מאמרה של ענת הורוויץ, '</w:t>
      </w:r>
      <w:r>
        <w:rPr>
          <w:rFonts w:hint="cs"/>
          <w:rtl/>
        </w:rPr>
        <w:t>תסקיר וקצין המבחן למבוג</w:t>
      </w:r>
      <w:r w:rsidR="00E7124B">
        <w:rPr>
          <w:rFonts w:hint="cs"/>
          <w:rtl/>
        </w:rPr>
        <w:t>רים: הערות על המצב המשפטי הקיים',</w:t>
      </w:r>
      <w:dir w:val="rtl">
        <w:r w:rsidR="00827B1A" w:rsidRPr="00827B1A">
          <w:rPr>
            <w:rtl/>
          </w:rPr>
          <w:t xml:space="preserve"> </w:t>
        </w:r>
        <w:r w:rsidR="00827B1A">
          <w:rPr>
            <w:rFonts w:hint="cs"/>
            <w:rtl/>
          </w:rPr>
          <w:t>בתוך:</w:t>
        </w:r>
        <w:r w:rsidR="00827B1A" w:rsidRPr="00827B1A">
          <w:rPr>
            <w:rtl/>
          </w:rPr>
          <w:t xml:space="preserve"> </w:t>
        </w:r>
        <w:r w:rsidR="00E7124B">
          <w:rPr>
            <w:rFonts w:ascii="David" w:hAnsi="David" w:hint="cs"/>
            <w:rtl/>
          </w:rPr>
          <w:t xml:space="preserve">מ' חובב ואחרים (עורכים), </w:t>
        </w:r>
        <w:r w:rsidR="00827B1A" w:rsidRPr="00827B1A">
          <w:rPr>
            <w:rFonts w:ascii="David" w:hAnsi="David" w:hint="cs"/>
            <w:rtl/>
          </w:rPr>
          <w:t>מגמות</w:t>
        </w:r>
        <w:r w:rsidR="00827B1A" w:rsidRPr="00827B1A">
          <w:rPr>
            <w:rtl/>
          </w:rPr>
          <w:t xml:space="preserve"> </w:t>
        </w:r>
        <w:r w:rsidR="00827B1A" w:rsidRPr="00827B1A">
          <w:rPr>
            <w:rFonts w:ascii="David" w:hAnsi="David" w:hint="cs"/>
            <w:rtl/>
          </w:rPr>
          <w:t>בקרימינולוגיה</w:t>
        </w:r>
        <w:r w:rsidR="00827B1A" w:rsidRPr="00827B1A">
          <w:rPr>
            <w:rtl/>
          </w:rPr>
          <w:t xml:space="preserve">; </w:t>
        </w:r>
        <w:r w:rsidR="00827B1A" w:rsidRPr="00827B1A">
          <w:rPr>
            <w:rFonts w:ascii="David" w:hAnsi="David" w:hint="cs"/>
            <w:rtl/>
          </w:rPr>
          <w:t>תאוריה</w:t>
        </w:r>
        <w:r w:rsidR="00827B1A" w:rsidRPr="00827B1A">
          <w:rPr>
            <w:rtl/>
          </w:rPr>
          <w:t xml:space="preserve">, </w:t>
        </w:r>
        <w:r w:rsidR="00827B1A" w:rsidRPr="00827B1A">
          <w:rPr>
            <w:rFonts w:ascii="David" w:hAnsi="David" w:hint="cs"/>
            <w:rtl/>
          </w:rPr>
          <w:t>מדיניות</w:t>
        </w:r>
        <w:r w:rsidR="00827B1A" w:rsidRPr="00827B1A">
          <w:rPr>
            <w:rtl/>
          </w:rPr>
          <w:t xml:space="preserve"> </w:t>
        </w:r>
        <w:r w:rsidR="00827B1A" w:rsidRPr="00827B1A">
          <w:rPr>
            <w:rFonts w:ascii="David" w:hAnsi="David" w:hint="cs"/>
            <w:rtl/>
          </w:rPr>
          <w:t>ויישום</w:t>
        </w:r>
        <w:r w:rsidR="00E7124B">
          <w:rPr>
            <w:rFonts w:hint="cs"/>
            <w:rtl/>
          </w:rPr>
          <w:t xml:space="preserve">, </w:t>
        </w:r>
        <w:r w:rsidR="00827B1A" w:rsidRPr="00827B1A">
          <w:rPr>
            <w:rtl/>
          </w:rPr>
          <w:t>ירושלים</w:t>
        </w:r>
        <w:r w:rsidR="00E7124B">
          <w:rPr>
            <w:rFonts w:hint="cs"/>
            <w:rtl/>
          </w:rPr>
          <w:t xml:space="preserve"> </w:t>
        </w:r>
        <w:r w:rsidR="00827B1A" w:rsidRPr="00827B1A">
          <w:rPr>
            <w:rtl/>
          </w:rPr>
          <w:t>תשס</w:t>
        </w:r>
        <w:r w:rsidR="00827B1A">
          <w:rPr>
            <w:rFonts w:hint="cs"/>
            <w:rtl/>
          </w:rPr>
          <w:t>"</w:t>
        </w:r>
        <w:r w:rsidR="00827B1A" w:rsidRPr="00827B1A">
          <w:rPr>
            <w:rtl/>
          </w:rPr>
          <w:t>ג</w:t>
        </w:r>
        <w:r w:rsidR="00827B1A">
          <w:rPr>
            <w:rFonts w:hint="cs"/>
            <w:rtl/>
          </w:rPr>
          <w:t xml:space="preserve">, עמ' </w:t>
        </w:r>
        <w:r w:rsidR="00E7124B">
          <w:rPr>
            <w:rFonts w:hint="cs"/>
            <w:rtl/>
          </w:rPr>
          <w:t>171</w:t>
        </w:r>
        <w:r w:rsidR="00E7124B">
          <w:rPr>
            <w:rtl/>
          </w:rPr>
          <w:t>–</w:t>
        </w:r>
        <w:r w:rsidR="00E7124B">
          <w:rPr>
            <w:rFonts w:hint="cs"/>
            <w:rtl/>
          </w:rPr>
          <w:t>207</w:t>
        </w:r>
        <w:r w:rsidR="00827B1A" w:rsidRPr="00827B1A">
          <w:rPr>
            <w:rFonts w:ascii="Arial" w:hAnsi="Arial" w:cs="Arial" w:hint="cs"/>
            <w:rtl/>
          </w:rPr>
          <w:t>‬</w:t>
        </w:r>
        <w:r w:rsidR="00E7124B">
          <w:rPr>
            <w:rFonts w:hint="cs"/>
            <w:rtl/>
          </w:rPr>
          <w:t xml:space="preserve">. </w:t>
        </w:r>
        <w:r>
          <w:rPr>
            <w:rFonts w:hint="cs"/>
            <w:rtl/>
          </w:rPr>
          <w:t xml:space="preserve">הורוויץ מדגישה כי בתי המשפט נוטים </w:t>
        </w:r>
        <w:r w:rsidR="00E7124B">
          <w:rPr>
            <w:rFonts w:hint="cs"/>
            <w:rtl/>
          </w:rPr>
          <w:t xml:space="preserve">כיום </w:t>
        </w:r>
        <w:r>
          <w:rPr>
            <w:rFonts w:hint="cs"/>
            <w:rtl/>
          </w:rPr>
          <w:t xml:space="preserve">להתייחס לתסקיר לא רק לצורך התאמת הענישה למטרות שיקומיות, אלא גם </w:t>
        </w:r>
        <w:r w:rsidR="00827B1A">
          <w:rPr>
            <w:rFonts w:hint="cs"/>
            <w:rtl/>
          </w:rPr>
          <w:t>לצורך אומדן חומרתה של העבירה בהתאם לנסיבותיה הנפשיות והאחרות.</w:t>
        </w:r>
        <w:r w:rsidR="00D71ABE">
          <w:t>‬</w:t>
        </w:r>
        <w:r w:rsidR="00854B46">
          <w:t>‬</w:t>
        </w:r>
        <w:r w:rsidR="00BE513A">
          <w:t>‬</w:t>
        </w:r>
        <w:r w:rsidR="00970AE4">
          <w:t>‬</w:t>
        </w:r>
        <w:r w:rsidR="004D2532">
          <w:t>‬</w:t>
        </w:r>
        <w:r w:rsidR="0028781D">
          <w:t>‬</w:t>
        </w:r>
        <w:r w:rsidR="00C8527E">
          <w:t>‬</w:t>
        </w:r>
      </w:di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adasa Roso S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ttman Keren">
    <w:altName w:val="Arial"/>
    <w:charset w:val="B1"/>
    <w:family w:val="auto"/>
    <w:pitch w:val="variable"/>
    <w:sig w:usb0="00000801" w:usb1="40000000" w:usb2="00000000" w:usb3="00000000" w:csb0="0000002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24705" w14:textId="77777777" w:rsidR="00D11FEB" w:rsidRDefault="00D11FEB" w:rsidP="00FC4D5D">
    <w:pPr>
      <w:pStyle w:val="1"/>
      <w:jc w:val="center"/>
      <w:rPr>
        <w:rFonts w:cs="Guttman Keren"/>
        <w:b/>
        <w:bCs/>
        <w:color w:val="365F91"/>
        <w:spacing w:val="-10"/>
        <w:rtl/>
      </w:rPr>
    </w:pPr>
    <w:r>
      <w:rPr>
        <w:noProof/>
        <w:rtl/>
      </w:rPr>
      <mc:AlternateContent>
        <mc:Choice Requires="wps">
          <w:drawing>
            <wp:anchor distT="4294967295" distB="4294967295" distL="114300" distR="114300" simplePos="0" relativeHeight="251656704" behindDoc="0" locked="0" layoutInCell="1" allowOverlap="1" wp14:anchorId="51732B1C" wp14:editId="4A49B87F">
              <wp:simplePos x="0" y="0"/>
              <wp:positionH relativeFrom="column">
                <wp:posOffset>-6350</wp:posOffset>
              </wp:positionH>
              <wp:positionV relativeFrom="paragraph">
                <wp:posOffset>113029</wp:posOffset>
              </wp:positionV>
              <wp:extent cx="6191885" cy="0"/>
              <wp:effectExtent l="0" t="19050" r="1841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0C912A0" id="_x0000_t32" coordsize="21600,21600" o:spt="32" o:oned="t" path="m,l21600,21600e" filled="f">
              <v:path arrowok="t" fillok="f" o:connecttype="none"/>
              <o:lock v:ext="edit" shapetype="t"/>
            </v:shapetype>
            <v:shape id="AutoShape 3" o:spid="_x0000_s1026" type="#_x0000_t32" style="position:absolute;left:0;text-align:left;margin-left:-.5pt;margin-top:8.9pt;width:487.5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" strokecolor="#0070c0" strokeweight="3pt">
              <v:shadow color="#243f60" opacity=".5" offset="1pt"/>
            </v:shape>
          </w:pict>
        </mc:Fallback>
      </mc:AlternateContent>
    </w:r>
    <w:r>
      <w:rPr>
        <w:rFonts w:cs="Guttman Keren"/>
        <w:b/>
        <w:bCs/>
        <w:color w:val="365F91"/>
        <w:spacing w:val="-10"/>
        <w:rtl/>
      </w:rPr>
      <w:t xml:space="preserve">         -----</w:t>
    </w:r>
  </w:p>
  <w:p w14:paraId="380B561F" w14:textId="77777777" w:rsidR="00D11FEB" w:rsidRPr="00E55679" w:rsidRDefault="00D11FEB" w:rsidP="00B57B41">
    <w:pPr>
      <w:pStyle w:val="1"/>
      <w:jc w:val="center"/>
      <w:rPr>
        <w:rFonts w:cs="Guttman Keren"/>
        <w:color w:val="365F91"/>
        <w:spacing w:val="-10"/>
        <w:rtl/>
      </w:rPr>
    </w:pPr>
    <w:r w:rsidRPr="00E55679">
      <w:rPr>
        <w:rFonts w:cs="Guttman Keren"/>
        <w:b/>
        <w:bCs/>
        <w:color w:val="365F91"/>
        <w:spacing w:val="-10"/>
        <w:rtl/>
      </w:rPr>
      <w:t xml:space="preserve">משרדי </w:t>
    </w:r>
    <w:proofErr w:type="spellStart"/>
    <w:r w:rsidRPr="00E55679">
      <w:rPr>
        <w:rFonts w:cs="Guttman Keren"/>
        <w:b/>
        <w:bCs/>
        <w:color w:val="365F91"/>
        <w:spacing w:val="-10"/>
        <w:rtl/>
      </w:rPr>
      <w:t>צהר</w:t>
    </w:r>
    <w:proofErr w:type="spellEnd"/>
    <w:r w:rsidRPr="00E55679">
      <w:rPr>
        <w:rFonts w:cs="Guttman Keren"/>
        <w:color w:val="365F91"/>
        <w:spacing w:val="-10"/>
        <w:rtl/>
      </w:rPr>
      <w:t xml:space="preserve">: המלאכה 1 א.ת. הצפוני לוד, </w:t>
    </w:r>
    <w:r w:rsidRPr="00356886">
      <w:rPr>
        <w:rFonts w:cs="Guttman Keren"/>
        <w:b/>
        <w:bCs/>
        <w:color w:val="365F91"/>
        <w:spacing w:val="-10"/>
        <w:sz w:val="18"/>
        <w:szCs w:val="22"/>
        <w:rtl/>
      </w:rPr>
      <w:t>71520</w:t>
    </w:r>
    <w:r w:rsidRPr="00E55679">
      <w:rPr>
        <w:rFonts w:cs="Guttman Keren"/>
        <w:color w:val="365F91"/>
        <w:spacing w:val="-10"/>
        <w:rtl/>
      </w:rPr>
      <w:t xml:space="preserve">  </w:t>
    </w:r>
    <w:r>
      <w:rPr>
        <w:rFonts w:cs="Guttman Keren"/>
        <w:color w:val="365F91"/>
        <w:spacing w:val="-10"/>
        <w:rtl/>
      </w:rPr>
      <w:t xml:space="preserve">   </w:t>
    </w:r>
    <w:r w:rsidRPr="00E55679">
      <w:rPr>
        <w:rFonts w:cs="Guttman Keren"/>
        <w:color w:val="365F91"/>
        <w:spacing w:val="-10"/>
        <w:rtl/>
      </w:rPr>
      <w:t>טל</w:t>
    </w:r>
    <w:r>
      <w:rPr>
        <w:rFonts w:cs="Guttman Keren"/>
        <w:color w:val="365F91"/>
        <w:spacing w:val="-10"/>
      </w:rPr>
      <w:t xml:space="preserve"> :</w:t>
    </w:r>
    <w:r w:rsidRPr="00E55679">
      <w:rPr>
        <w:rFonts w:cs="Guttman Keren"/>
        <w:color w:val="365F91"/>
        <w:spacing w:val="-10"/>
        <w:rtl/>
      </w:rPr>
      <w:t xml:space="preserve"> </w:t>
    </w:r>
    <w:r>
      <w:rPr>
        <w:rFonts w:cs="Guttman Keren"/>
        <w:b/>
        <w:bCs/>
        <w:color w:val="365F91"/>
        <w:spacing w:val="-10"/>
        <w:sz w:val="18"/>
        <w:szCs w:val="22"/>
        <w:rtl/>
      </w:rPr>
      <w:t>052-3286269</w:t>
    </w:r>
    <w:r w:rsidRPr="00356886">
      <w:rPr>
        <w:rFonts w:cs="Guttman Keren"/>
        <w:color w:val="365F91"/>
        <w:spacing w:val="-10"/>
        <w:sz w:val="18"/>
        <w:szCs w:val="22"/>
        <w:rtl/>
      </w:rPr>
      <w:t xml:space="preserve">   </w:t>
    </w:r>
    <w:r>
      <w:rPr>
        <w:rFonts w:cs="Guttman Keren"/>
        <w:color w:val="365F91"/>
        <w:spacing w:val="-10"/>
        <w:sz w:val="18"/>
        <w:szCs w:val="22"/>
        <w:rtl/>
      </w:rPr>
      <w:t xml:space="preserve">  </w:t>
    </w:r>
    <w:r w:rsidRPr="00E55679">
      <w:rPr>
        <w:rFonts w:cs="Guttman Keren"/>
        <w:color w:val="365F91"/>
        <w:spacing w:val="-10"/>
        <w:rtl/>
      </w:rPr>
      <w:t>פקס</w:t>
    </w:r>
    <w:r>
      <w:rPr>
        <w:rFonts w:cs="Guttman Keren"/>
        <w:color w:val="365F91"/>
        <w:spacing w:val="-10"/>
        <w:rtl/>
      </w:rPr>
      <w:t>:</w:t>
    </w:r>
    <w:r w:rsidRPr="00E55679">
      <w:rPr>
        <w:rFonts w:cs="Guttman Keren"/>
        <w:color w:val="365F91"/>
        <w:spacing w:val="-10"/>
        <w:rtl/>
      </w:rPr>
      <w:t xml:space="preserve"> </w:t>
    </w:r>
    <w:r w:rsidRPr="00114F54">
      <w:rPr>
        <w:rFonts w:cs="Guttman Keren"/>
        <w:b/>
        <w:bCs/>
        <w:color w:val="365F91"/>
        <w:spacing w:val="-10"/>
        <w:sz w:val="18"/>
        <w:szCs w:val="22"/>
        <w:rtl/>
      </w:rPr>
      <w:t>153</w:t>
    </w:r>
    <w:r>
      <w:rPr>
        <w:rFonts w:cs="Guttman Keren"/>
        <w:b/>
        <w:bCs/>
        <w:color w:val="365F91"/>
        <w:spacing w:val="-10"/>
        <w:sz w:val="18"/>
        <w:szCs w:val="22"/>
        <w:rtl/>
      </w:rPr>
      <w:t>-</w:t>
    </w:r>
    <w:r w:rsidRPr="00114F54">
      <w:rPr>
        <w:rFonts w:cs="Guttman Keren"/>
        <w:b/>
        <w:bCs/>
        <w:color w:val="365F91"/>
        <w:spacing w:val="-10"/>
        <w:sz w:val="18"/>
        <w:szCs w:val="22"/>
        <w:rtl/>
      </w:rPr>
      <w:t>523286269</w:t>
    </w:r>
  </w:p>
  <w:p w14:paraId="25F3ABCB" w14:textId="77777777" w:rsidR="00D11FEB" w:rsidRPr="00E55679" w:rsidRDefault="00C8527E" w:rsidP="00B57B41">
    <w:pPr>
      <w:jc w:val="center"/>
      <w:rPr>
        <w:rFonts w:cs="Guttman Keren"/>
        <w:b/>
        <w:bCs/>
        <w:color w:val="365F91"/>
        <w:spacing w:val="8"/>
        <w:sz w:val="24"/>
        <w:szCs w:val="24"/>
        <w:rtl/>
      </w:rPr>
    </w:pPr>
    <w:hyperlink r:id="rId1" w:history="1">
      <w:r w:rsidR="00D11FEB" w:rsidRPr="00175902">
        <w:rPr>
          <w:b/>
          <w:bCs/>
          <w:color w:val="365F91"/>
          <w:spacing w:val="-10"/>
          <w:sz w:val="26"/>
          <w:szCs w:val="26"/>
        </w:rPr>
        <w:t>www.tzohar.org.il</w:t>
      </w:r>
    </w:hyperlink>
    <w:r w:rsidR="00D11FEB" w:rsidRPr="00175902">
      <w:rPr>
        <w:rFonts w:cs="Guttman Keren"/>
        <w:b/>
        <w:bCs/>
        <w:color w:val="365F91"/>
        <w:spacing w:val="8"/>
        <w:sz w:val="30"/>
        <w:szCs w:val="30"/>
        <w:rtl/>
      </w:rPr>
      <w:t xml:space="preserve"> </w:t>
    </w:r>
    <w:r w:rsidR="00D11FEB" w:rsidRPr="00175902">
      <w:rPr>
        <w:rFonts w:cs="Guttman Keren"/>
        <w:b/>
        <w:bCs/>
        <w:color w:val="365F91"/>
        <w:spacing w:val="8"/>
        <w:sz w:val="24"/>
        <w:szCs w:val="24"/>
        <w:rtl/>
      </w:rPr>
      <w:t xml:space="preserve">     </w:t>
    </w:r>
    <w:proofErr w:type="spellStart"/>
    <w:r w:rsidR="00D11FEB" w:rsidRPr="00E55679">
      <w:rPr>
        <w:rFonts w:cs="Guttman Keren"/>
        <w:b/>
        <w:bCs/>
        <w:color w:val="365F91"/>
        <w:spacing w:val="8"/>
        <w:sz w:val="24"/>
        <w:szCs w:val="24"/>
        <w:rtl/>
      </w:rPr>
      <w:t>צהר</w:t>
    </w:r>
    <w:proofErr w:type="spellEnd"/>
    <w:r w:rsidR="00D11FEB" w:rsidRPr="00E55679">
      <w:rPr>
        <w:rFonts w:cs="Guttman Keren"/>
        <w:b/>
        <w:bCs/>
        <w:color w:val="365F91"/>
        <w:spacing w:val="8"/>
        <w:sz w:val="24"/>
        <w:szCs w:val="24"/>
        <w:rtl/>
      </w:rPr>
      <w:t xml:space="preserve"> </w:t>
    </w:r>
    <w:r w:rsidR="00D11FEB">
      <w:rPr>
        <w:rFonts w:cs="Guttman Keren"/>
        <w:b/>
        <w:bCs/>
        <w:color w:val="365F91"/>
        <w:spacing w:val="8"/>
        <w:sz w:val="24"/>
        <w:szCs w:val="24"/>
        <w:rtl/>
      </w:rPr>
      <w:t>לחקיקה</w:t>
    </w:r>
    <w:r w:rsidR="00D11FEB" w:rsidRPr="00E55679">
      <w:rPr>
        <w:rFonts w:cs="Guttman Keren"/>
        <w:b/>
        <w:bCs/>
        <w:color w:val="365F91"/>
        <w:spacing w:val="8"/>
        <w:sz w:val="24"/>
        <w:szCs w:val="24"/>
        <w:rtl/>
      </w:rPr>
      <w:t xml:space="preserve">: </w:t>
    </w:r>
    <w:r w:rsidR="00D11FEB">
      <w:rPr>
        <w:rFonts w:cs="Guttman Keren"/>
        <w:b/>
        <w:bCs/>
        <w:color w:val="365F91"/>
        <w:spacing w:val="8"/>
        <w:sz w:val="24"/>
        <w:szCs w:val="24"/>
      </w:rPr>
      <w:t>Ganzel</w:t>
    </w:r>
    <w:r w:rsidR="00D11FEB" w:rsidRPr="00E55679">
      <w:rPr>
        <w:rFonts w:cs="Guttman Keren"/>
        <w:b/>
        <w:bCs/>
        <w:color w:val="365F91"/>
        <w:spacing w:val="8"/>
        <w:sz w:val="24"/>
        <w:szCs w:val="24"/>
      </w:rPr>
      <w:t>@tzohar.org.il</w:t>
    </w:r>
  </w:p>
  <w:p w14:paraId="10125DFF" w14:textId="77777777" w:rsidR="00D11FEB" w:rsidRPr="00E55679" w:rsidRDefault="00D11FEB">
    <w:pPr>
      <w:pStyle w:val="a5"/>
      <w:rPr>
        <w:color w:val="365F9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D423F" w14:textId="77777777" w:rsidR="00C8527E" w:rsidRDefault="00C8527E">
      <w:r>
        <w:separator/>
      </w:r>
    </w:p>
  </w:footnote>
  <w:footnote w:type="continuationSeparator" w:id="0">
    <w:p w14:paraId="06128686" w14:textId="77777777" w:rsidR="00C8527E" w:rsidRDefault="00C8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19C23" w14:textId="77777777" w:rsidR="00D11FEB" w:rsidRDefault="00D11FEB">
    <w:pPr>
      <w:pStyle w:val="a3"/>
      <w:framePr w:wrap="around" w:vAnchor="text" w:hAnchor="margin" w:y="1"/>
      <w:rPr>
        <w:rStyle w:val="a7"/>
        <w:rFonts w:cs="Miriam"/>
        <w:rtl/>
      </w:rPr>
    </w:pPr>
    <w:r>
      <w:rPr>
        <w:rStyle w:val="a7"/>
        <w:rFonts w:cs="Miriam"/>
      </w:rPr>
      <w:fldChar w:fldCharType="begin"/>
    </w:r>
    <w:r>
      <w:rPr>
        <w:rStyle w:val="a7"/>
        <w:rFonts w:cs="Miriam"/>
      </w:rPr>
      <w:instrText xml:space="preserve">PAGE  </w:instrText>
    </w:r>
    <w:r>
      <w:rPr>
        <w:rStyle w:val="a7"/>
        <w:rFonts w:cs="Miriam"/>
      </w:rPr>
      <w:fldChar w:fldCharType="separate"/>
    </w:r>
    <w:r>
      <w:rPr>
        <w:rStyle w:val="a7"/>
        <w:rFonts w:cs="Miriam"/>
        <w:rtl/>
      </w:rPr>
      <w:t>1</w:t>
    </w:r>
    <w:r>
      <w:rPr>
        <w:rStyle w:val="a7"/>
        <w:rFonts w:cs="Miriam"/>
      </w:rPr>
      <w:fldChar w:fldCharType="end"/>
    </w:r>
  </w:p>
  <w:p w14:paraId="0E6FEAC5" w14:textId="77777777" w:rsidR="00D11FEB" w:rsidRDefault="00D11FEB">
    <w:pPr>
      <w:pStyle w:val="a3"/>
      <w:ind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E8A79" w14:textId="77777777" w:rsidR="00D11FEB" w:rsidRPr="00A81E14" w:rsidRDefault="00D11FEB" w:rsidP="00A81E14">
    <w:pPr>
      <w:pStyle w:val="a3"/>
      <w:ind w:right="360"/>
      <w:rPr>
        <w:rFonts w:cs="Guttman Keren"/>
        <w:b/>
        <w:bCs/>
        <w:color w:val="365F91"/>
        <w:sz w:val="34"/>
        <w:szCs w:val="34"/>
        <w:rtl/>
      </w:rPr>
    </w:pPr>
    <w:r>
      <w:rPr>
        <w:noProof/>
        <w:rtl/>
      </w:rPr>
      <mc:AlternateContent>
        <mc:Choice Requires="wps">
          <w:drawing>
            <wp:anchor distT="0" distB="0" distL="114300" distR="114300" simplePos="0" relativeHeight="251655680" behindDoc="1" locked="0" layoutInCell="0" allowOverlap="1" wp14:anchorId="5284D0B0" wp14:editId="4C46BEB0">
              <wp:simplePos x="0" y="0"/>
              <wp:positionH relativeFrom="page">
                <wp:posOffset>387350</wp:posOffset>
              </wp:positionH>
              <wp:positionV relativeFrom="paragraph">
                <wp:posOffset>-19685</wp:posOffset>
              </wp:positionV>
              <wp:extent cx="5852160" cy="533400"/>
              <wp:effectExtent l="0" t="0" r="0" b="0"/>
              <wp:wrapThrough wrapText="bothSides">
                <wp:wrapPolygon edited="0">
                  <wp:start x="0" y="0"/>
                  <wp:lineTo x="0" y="20829"/>
                  <wp:lineTo x="21516" y="20829"/>
                  <wp:lineTo x="21516"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36798" w14:textId="77777777" w:rsidR="00D11FEB" w:rsidRDefault="00D11FEB" w:rsidP="00A81E14">
                          <w:pPr>
                            <w:pStyle w:val="a3"/>
                            <w:ind w:right="360"/>
                            <w:rPr>
                              <w:rFonts w:cs="Guttman Keren"/>
                              <w:b/>
                              <w:bCs/>
                              <w:color w:val="365F91"/>
                              <w:sz w:val="34"/>
                              <w:szCs w:val="34"/>
                              <w:rtl/>
                            </w:rPr>
                          </w:pPr>
                          <w:proofErr w:type="spellStart"/>
                          <w:r>
                            <w:rPr>
                              <w:rFonts w:cs="Guttman Keren" w:hint="cs"/>
                              <w:b/>
                              <w:bCs/>
                              <w:color w:val="365F91"/>
                              <w:sz w:val="34"/>
                              <w:szCs w:val="34"/>
                              <w:rtl/>
                            </w:rPr>
                            <w:t>צ</w:t>
                          </w:r>
                          <w:r w:rsidRPr="00E55679">
                            <w:rPr>
                              <w:rFonts w:cs="Guttman Keren"/>
                              <w:b/>
                              <w:bCs/>
                              <w:color w:val="365F91"/>
                              <w:sz w:val="34"/>
                              <w:szCs w:val="34"/>
                              <w:rtl/>
                            </w:rPr>
                            <w:t>הר</w:t>
                          </w:r>
                          <w:proofErr w:type="spellEnd"/>
                          <w:r w:rsidRPr="00E55679">
                            <w:rPr>
                              <w:rFonts w:cs="Guttman Keren"/>
                              <w:b/>
                              <w:bCs/>
                              <w:color w:val="365F91"/>
                              <w:sz w:val="34"/>
                              <w:szCs w:val="34"/>
                              <w:rtl/>
                            </w:rPr>
                            <w:t xml:space="preserve"> </w:t>
                          </w:r>
                          <w:r>
                            <w:rPr>
                              <w:rFonts w:cs="Guttman Keren"/>
                              <w:b/>
                              <w:bCs/>
                              <w:color w:val="365F91"/>
                              <w:sz w:val="34"/>
                              <w:szCs w:val="34"/>
                              <w:rtl/>
                            </w:rPr>
                            <w:t>לחקיקה</w:t>
                          </w:r>
                        </w:p>
                        <w:p w14:paraId="605A0922" w14:textId="77777777" w:rsidR="00D11FEB" w:rsidRPr="00E55679" w:rsidRDefault="00D11FEB" w:rsidP="00A81E14">
                          <w:pPr>
                            <w:pStyle w:val="a3"/>
                            <w:ind w:right="360"/>
                            <w:rPr>
                              <w:rFonts w:cs="Guttman Keren"/>
                              <w:b/>
                              <w:bCs/>
                              <w:color w:val="365F91"/>
                              <w:sz w:val="34"/>
                              <w:szCs w:val="34"/>
                              <w:rtl/>
                            </w:rPr>
                          </w:pPr>
                          <w:r w:rsidRPr="00E55679">
                            <w:rPr>
                              <w:rFonts w:cs="Guttman Keren"/>
                              <w:color w:val="365F91"/>
                              <w:sz w:val="26"/>
                              <w:szCs w:val="26"/>
                              <w:rtl/>
                            </w:rPr>
                            <w:t>מבט יהודי לחקיקה בישראל</w:t>
                          </w:r>
                        </w:p>
                        <w:p w14:paraId="791D5229" w14:textId="77777777" w:rsidR="00D11FEB" w:rsidRDefault="00D11FEB" w:rsidP="00744206">
                          <w:pPr>
                            <w:pStyle w:val="1"/>
                            <w:spacing w:after="120"/>
                            <w:jc w:val="left"/>
                            <w:rPr>
                              <w:rFonts w:cs="David"/>
                              <w:spacing w:val="-1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4D0B0" id="_x0000_t202" coordsize="21600,21600" o:spt="202" path="m,l,21600r21600,l21600,xe">
              <v:stroke joinstyle="miter"/>
              <v:path gradientshapeok="t" o:connecttype="rect"/>
            </v:shapetype>
            <v:shape id="Text Box 2" o:spid="_x0000_s1026" type="#_x0000_t202" style="position:absolute;left:0;text-align:left;margin-left:30.5pt;margin-top:-1.55pt;width:460.8pt;height:4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NqgwIAAA8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" o:allowincell="f" stroked="f">
              <v:textbox>
                <w:txbxContent>
                  <w:p w14:paraId="42736798" w14:textId="77777777" w:rsidR="00D11FEB" w:rsidRDefault="00D11FEB" w:rsidP="00A81E14">
                    <w:pPr>
                      <w:pStyle w:val="a3"/>
                      <w:ind w:right="360"/>
                      <w:rPr>
                        <w:rFonts w:cs="Guttman Keren"/>
                        <w:b/>
                        <w:bCs/>
                        <w:color w:val="365F91"/>
                        <w:sz w:val="34"/>
                        <w:szCs w:val="34"/>
                        <w:rtl/>
                      </w:rPr>
                    </w:pPr>
                    <w:proofErr w:type="spellStart"/>
                    <w:r>
                      <w:rPr>
                        <w:rFonts w:cs="Guttman Keren" w:hint="cs"/>
                        <w:b/>
                        <w:bCs/>
                        <w:color w:val="365F91"/>
                        <w:sz w:val="34"/>
                        <w:szCs w:val="34"/>
                        <w:rtl/>
                      </w:rPr>
                      <w:t>צ</w:t>
                    </w:r>
                    <w:r w:rsidRPr="00E55679">
                      <w:rPr>
                        <w:rFonts w:cs="Guttman Keren"/>
                        <w:b/>
                        <w:bCs/>
                        <w:color w:val="365F91"/>
                        <w:sz w:val="34"/>
                        <w:szCs w:val="34"/>
                        <w:rtl/>
                      </w:rPr>
                      <w:t>הר</w:t>
                    </w:r>
                    <w:proofErr w:type="spellEnd"/>
                    <w:r w:rsidRPr="00E55679">
                      <w:rPr>
                        <w:rFonts w:cs="Guttman Keren"/>
                        <w:b/>
                        <w:bCs/>
                        <w:color w:val="365F91"/>
                        <w:sz w:val="34"/>
                        <w:szCs w:val="34"/>
                        <w:rtl/>
                      </w:rPr>
                      <w:t xml:space="preserve"> </w:t>
                    </w:r>
                    <w:r>
                      <w:rPr>
                        <w:rFonts w:cs="Guttman Keren"/>
                        <w:b/>
                        <w:bCs/>
                        <w:color w:val="365F91"/>
                        <w:sz w:val="34"/>
                        <w:szCs w:val="34"/>
                        <w:rtl/>
                      </w:rPr>
                      <w:t>לחקיקה</w:t>
                    </w:r>
                  </w:p>
                  <w:p w14:paraId="605A0922" w14:textId="77777777" w:rsidR="00D11FEB" w:rsidRPr="00E55679" w:rsidRDefault="00D11FEB" w:rsidP="00A81E14">
                    <w:pPr>
                      <w:pStyle w:val="a3"/>
                      <w:ind w:right="360"/>
                      <w:rPr>
                        <w:rFonts w:cs="Guttman Keren"/>
                        <w:b/>
                        <w:bCs/>
                        <w:color w:val="365F91"/>
                        <w:sz w:val="34"/>
                        <w:szCs w:val="34"/>
                        <w:rtl/>
                      </w:rPr>
                    </w:pPr>
                    <w:r w:rsidRPr="00E55679">
                      <w:rPr>
                        <w:rFonts w:cs="Guttman Keren"/>
                        <w:color w:val="365F91"/>
                        <w:sz w:val="26"/>
                        <w:szCs w:val="26"/>
                        <w:rtl/>
                      </w:rPr>
                      <w:t>מבט יהודי לחקיקה בישראל</w:t>
                    </w:r>
                  </w:p>
                  <w:p w14:paraId="791D5229" w14:textId="77777777" w:rsidR="00D11FEB" w:rsidRDefault="00D11FEB" w:rsidP="00744206">
                    <w:pPr>
                      <w:pStyle w:val="1"/>
                      <w:spacing w:after="120"/>
                      <w:jc w:val="left"/>
                      <w:rPr>
                        <w:rFonts w:cs="David"/>
                        <w:spacing w:val="-10"/>
                        <w:rtl/>
                      </w:rPr>
                    </w:pPr>
                  </w:p>
                </w:txbxContent>
              </v:textbox>
              <w10:wrap type="through" anchorx="page"/>
            </v:shape>
          </w:pict>
        </mc:Fallback>
      </mc:AlternateContent>
    </w:r>
    <w:r>
      <w:rPr>
        <w:noProof/>
        <w:rtl/>
      </w:rPr>
      <mc:AlternateContent>
        <mc:Choice Requires="wps">
          <w:drawing>
            <wp:anchor distT="4294967295" distB="4294967295" distL="114300" distR="114300" simplePos="0" relativeHeight="251657728" behindDoc="0" locked="0" layoutInCell="1" allowOverlap="1" wp14:anchorId="510E3C1B" wp14:editId="2A24AD4E">
              <wp:simplePos x="0" y="0"/>
              <wp:positionH relativeFrom="margin">
                <wp:posOffset>-6350</wp:posOffset>
              </wp:positionH>
              <wp:positionV relativeFrom="margin">
                <wp:posOffset>-267335</wp:posOffset>
              </wp:positionV>
              <wp:extent cx="5615940" cy="0"/>
              <wp:effectExtent l="0" t="19050" r="3810" b="19050"/>
              <wp:wrapSquare wrapText="bothSides"/>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20739AD" id="_x0000_t32" coordsize="21600,21600" o:spt="32" o:oned="t" path="m,l21600,21600e" filled="f">
              <v:path arrowok="t" fillok="f" o:connecttype="none"/>
              <o:lock v:ext="edit" shapetype="t"/>
            </v:shapetype>
            <v:shape id="AutoShape 6" o:spid="_x0000_s1026" type="#_x0000_t32" style="position:absolute;left:0;text-align:left;margin-left:-.5pt;margin-top:-21.05pt;width:442.2pt;height:0;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" strokecolor="#0070c0" strokeweight="3pt">
              <v:shadow color="#243f60" opacity=".5" offset="1pt"/>
              <w10:wrap type="square" anchorx="margin" anchory="margin"/>
            </v:shape>
          </w:pict>
        </mc:Fallback>
      </mc:AlternateContent>
    </w:r>
    <w:r>
      <w:rPr>
        <w:noProof/>
        <w:rtl/>
      </w:rPr>
      <w:drawing>
        <wp:anchor distT="0" distB="0" distL="114300" distR="114300" simplePos="0" relativeHeight="251659776" behindDoc="0" locked="0" layoutInCell="1" allowOverlap="1" wp14:anchorId="5C19467A" wp14:editId="50B1988D">
          <wp:simplePos x="0" y="0"/>
          <wp:positionH relativeFrom="column">
            <wp:posOffset>5695950</wp:posOffset>
          </wp:positionH>
          <wp:positionV relativeFrom="paragraph">
            <wp:posOffset>-195580</wp:posOffset>
          </wp:positionV>
          <wp:extent cx="810260" cy="874395"/>
          <wp:effectExtent l="0" t="0" r="8890" b="1905"/>
          <wp:wrapSquare wrapText="bothSides"/>
          <wp:docPr id="5" name="תמונה 10" descr="90811_Tzoh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descr="90811_Tzohar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874395"/>
                  </a:xfrm>
                  <a:prstGeom prst="rect">
                    <a:avLst/>
                  </a:prstGeom>
                  <a:noFill/>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58752" behindDoc="0" locked="0" layoutInCell="1" allowOverlap="1" wp14:anchorId="48363815" wp14:editId="631255D1">
          <wp:simplePos x="0" y="0"/>
          <wp:positionH relativeFrom="column">
            <wp:posOffset>-6350</wp:posOffset>
          </wp:positionH>
          <wp:positionV relativeFrom="paragraph">
            <wp:posOffset>-285115</wp:posOffset>
          </wp:positionV>
          <wp:extent cx="600075" cy="723900"/>
          <wp:effectExtent l="0" t="0" r="9525" b="0"/>
          <wp:wrapNone/>
          <wp:docPr id="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2">
                    <a:extLst>
                      <a:ext uri="{28A0092B-C50C-407E-A947-70E740481C1C}">
                        <a14:useLocalDpi xmlns:a14="http://schemas.microsoft.com/office/drawing/2010/main" val="0"/>
                      </a:ext>
                    </a:extLst>
                  </a:blip>
                  <a:srcRect l="12602" t="17670" r="17603" b="15950"/>
                  <a:stretch>
                    <a:fillRect/>
                  </a:stretch>
                </pic:blipFill>
                <pic:spPr bwMode="auto">
                  <a:xfrm>
                    <a:off x="0" y="0"/>
                    <a:ext cx="600075" cy="723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4E5E"/>
    <w:multiLevelType w:val="hybridMultilevel"/>
    <w:tmpl w:val="CDDE7D58"/>
    <w:lvl w:ilvl="0" w:tplc="30E63542">
      <w:start w:val="1"/>
      <w:numFmt w:val="decimal"/>
      <w:lvlText w:val="%1."/>
      <w:lvlJc w:val="left"/>
      <w:pPr>
        <w:ind w:left="720" w:hanging="360"/>
      </w:pPr>
      <w:rPr>
        <w:rFonts w:cs="Times New Roman" w:hint="default"/>
        <w:b w:val="0"/>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8CF2CC6"/>
    <w:multiLevelType w:val="hybridMultilevel"/>
    <w:tmpl w:val="D4845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471D7"/>
    <w:multiLevelType w:val="hybridMultilevel"/>
    <w:tmpl w:val="F9C45D02"/>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574875"/>
    <w:multiLevelType w:val="hybridMultilevel"/>
    <w:tmpl w:val="CDFA8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344BF0"/>
    <w:multiLevelType w:val="hybridMultilevel"/>
    <w:tmpl w:val="D6E6E71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611BF"/>
    <w:multiLevelType w:val="hybridMultilevel"/>
    <w:tmpl w:val="ECEA6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DD5BE8"/>
    <w:multiLevelType w:val="hybridMultilevel"/>
    <w:tmpl w:val="86EC8162"/>
    <w:lvl w:ilvl="0" w:tplc="7B68A228">
      <w:start w:val="1"/>
      <w:numFmt w:val="hebrew1"/>
      <w:lvlText w:val="%1."/>
      <w:lvlJc w:val="left"/>
      <w:pPr>
        <w:ind w:left="714" w:hanging="360"/>
      </w:pPr>
      <w:rPr>
        <w:rFonts w:cs="Times New Roman" w:hint="default"/>
        <w:sz w:val="2"/>
        <w:szCs w:val="20"/>
      </w:rPr>
    </w:lvl>
    <w:lvl w:ilvl="1" w:tplc="04090019" w:tentative="1">
      <w:start w:val="1"/>
      <w:numFmt w:val="lowerLetter"/>
      <w:lvlText w:val="%2."/>
      <w:lvlJc w:val="left"/>
      <w:pPr>
        <w:ind w:left="1434" w:hanging="360"/>
      </w:pPr>
      <w:rPr>
        <w:rFonts w:cs="Times New Roman"/>
      </w:rPr>
    </w:lvl>
    <w:lvl w:ilvl="2" w:tplc="0409001B" w:tentative="1">
      <w:start w:val="1"/>
      <w:numFmt w:val="lowerRoman"/>
      <w:lvlText w:val="%3."/>
      <w:lvlJc w:val="right"/>
      <w:pPr>
        <w:ind w:left="2154" w:hanging="180"/>
      </w:pPr>
      <w:rPr>
        <w:rFonts w:cs="Times New Roman"/>
      </w:rPr>
    </w:lvl>
    <w:lvl w:ilvl="3" w:tplc="0409000F" w:tentative="1">
      <w:start w:val="1"/>
      <w:numFmt w:val="decimal"/>
      <w:lvlText w:val="%4."/>
      <w:lvlJc w:val="left"/>
      <w:pPr>
        <w:ind w:left="2874" w:hanging="360"/>
      </w:pPr>
      <w:rPr>
        <w:rFonts w:cs="Times New Roman"/>
      </w:rPr>
    </w:lvl>
    <w:lvl w:ilvl="4" w:tplc="04090019" w:tentative="1">
      <w:start w:val="1"/>
      <w:numFmt w:val="lowerLetter"/>
      <w:lvlText w:val="%5."/>
      <w:lvlJc w:val="left"/>
      <w:pPr>
        <w:ind w:left="3594" w:hanging="360"/>
      </w:pPr>
      <w:rPr>
        <w:rFonts w:cs="Times New Roman"/>
      </w:rPr>
    </w:lvl>
    <w:lvl w:ilvl="5" w:tplc="0409001B" w:tentative="1">
      <w:start w:val="1"/>
      <w:numFmt w:val="lowerRoman"/>
      <w:lvlText w:val="%6."/>
      <w:lvlJc w:val="right"/>
      <w:pPr>
        <w:ind w:left="4314" w:hanging="180"/>
      </w:pPr>
      <w:rPr>
        <w:rFonts w:cs="Times New Roman"/>
      </w:rPr>
    </w:lvl>
    <w:lvl w:ilvl="6" w:tplc="0409000F" w:tentative="1">
      <w:start w:val="1"/>
      <w:numFmt w:val="decimal"/>
      <w:lvlText w:val="%7."/>
      <w:lvlJc w:val="left"/>
      <w:pPr>
        <w:ind w:left="5034" w:hanging="360"/>
      </w:pPr>
      <w:rPr>
        <w:rFonts w:cs="Times New Roman"/>
      </w:rPr>
    </w:lvl>
    <w:lvl w:ilvl="7" w:tplc="04090019" w:tentative="1">
      <w:start w:val="1"/>
      <w:numFmt w:val="lowerLetter"/>
      <w:lvlText w:val="%8."/>
      <w:lvlJc w:val="left"/>
      <w:pPr>
        <w:ind w:left="5754" w:hanging="360"/>
      </w:pPr>
      <w:rPr>
        <w:rFonts w:cs="Times New Roman"/>
      </w:rPr>
    </w:lvl>
    <w:lvl w:ilvl="8" w:tplc="0409001B" w:tentative="1">
      <w:start w:val="1"/>
      <w:numFmt w:val="lowerRoman"/>
      <w:lvlText w:val="%9."/>
      <w:lvlJc w:val="right"/>
      <w:pPr>
        <w:ind w:left="6474" w:hanging="180"/>
      </w:pPr>
      <w:rPr>
        <w:rFonts w:cs="Times New Roman"/>
      </w:rPr>
    </w:lvl>
  </w:abstractNum>
  <w:abstractNum w:abstractNumId="7" w15:restartNumberingAfterBreak="0">
    <w:nsid w:val="292F2DDC"/>
    <w:multiLevelType w:val="hybridMultilevel"/>
    <w:tmpl w:val="2FF8A81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9E27303"/>
    <w:multiLevelType w:val="hybridMultilevel"/>
    <w:tmpl w:val="9DDCA0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08756E3"/>
    <w:multiLevelType w:val="hybridMultilevel"/>
    <w:tmpl w:val="1DC4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C23EA"/>
    <w:multiLevelType w:val="hybridMultilevel"/>
    <w:tmpl w:val="F056C962"/>
    <w:lvl w:ilvl="0" w:tplc="04090013">
      <w:start w:val="1"/>
      <w:numFmt w:val="hebrew1"/>
      <w:lvlText w:val="%1."/>
      <w:lvlJc w:val="center"/>
      <w:pPr>
        <w:tabs>
          <w:tab w:val="num" w:pos="360"/>
        </w:tabs>
        <w:ind w:left="360" w:hanging="360"/>
      </w:pPr>
      <w:rPr>
        <w:rFonts w:cs="Times New Roman"/>
        <w:sz w:val="2"/>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2121F76"/>
    <w:multiLevelType w:val="hybridMultilevel"/>
    <w:tmpl w:val="72CEE4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28D7ED6"/>
    <w:multiLevelType w:val="hybridMultilevel"/>
    <w:tmpl w:val="EC54F396"/>
    <w:lvl w:ilvl="0" w:tplc="87CE4EFE">
      <w:start w:val="1"/>
      <w:numFmt w:val="decimal"/>
      <w:lvlText w:val="(%1)"/>
      <w:lvlJc w:val="left"/>
      <w:pPr>
        <w:ind w:left="914" w:hanging="63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3AD40CC"/>
    <w:multiLevelType w:val="hybridMultilevel"/>
    <w:tmpl w:val="2E386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73E09EF"/>
    <w:multiLevelType w:val="hybridMultilevel"/>
    <w:tmpl w:val="7B20E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403357"/>
    <w:multiLevelType w:val="hybridMultilevel"/>
    <w:tmpl w:val="236C51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0AF436A"/>
    <w:multiLevelType w:val="hybridMultilevel"/>
    <w:tmpl w:val="A5982FA4"/>
    <w:lvl w:ilvl="0" w:tplc="4E28BA96">
      <w:numFmt w:val="bullet"/>
      <w:lvlText w:val=""/>
      <w:lvlJc w:val="left"/>
      <w:pPr>
        <w:tabs>
          <w:tab w:val="num" w:pos="720"/>
        </w:tabs>
        <w:ind w:left="720" w:hanging="360"/>
      </w:pPr>
      <w:rPr>
        <w:rFonts w:ascii="Symbol" w:eastAsia="Times New Roman" w:hAnsi="Symbol" w:hint="default"/>
        <w:sz w:val="28"/>
      </w:rPr>
    </w:lvl>
    <w:lvl w:ilvl="1" w:tplc="040D0003" w:tentative="1">
      <w:start w:val="1"/>
      <w:numFmt w:val="bullet"/>
      <w:lvlText w:val="o"/>
      <w:lvlJc w:val="left"/>
      <w:pPr>
        <w:tabs>
          <w:tab w:val="num" w:pos="1440"/>
        </w:tabs>
        <w:ind w:left="1440" w:hanging="360"/>
      </w:pPr>
      <w:rPr>
        <w:rFonts w:ascii="Courier New" w:hAnsi="Courier New" w:hint="default"/>
      </w:rPr>
    </w:lvl>
    <w:lvl w:ilvl="2" w:tplc="040D0005" w:tentative="1">
      <w:start w:val="1"/>
      <w:numFmt w:val="bullet"/>
      <w:lvlText w:val=""/>
      <w:lvlJc w:val="left"/>
      <w:pPr>
        <w:tabs>
          <w:tab w:val="num" w:pos="2160"/>
        </w:tabs>
        <w:ind w:left="2160" w:hanging="360"/>
      </w:pPr>
      <w:rPr>
        <w:rFonts w:ascii="Wingdings" w:hAnsi="Wingdings" w:hint="default"/>
      </w:rPr>
    </w:lvl>
    <w:lvl w:ilvl="3" w:tplc="040D0001" w:tentative="1">
      <w:start w:val="1"/>
      <w:numFmt w:val="bullet"/>
      <w:lvlText w:val=""/>
      <w:lvlJc w:val="left"/>
      <w:pPr>
        <w:tabs>
          <w:tab w:val="num" w:pos="2880"/>
        </w:tabs>
        <w:ind w:left="2880" w:hanging="360"/>
      </w:pPr>
      <w:rPr>
        <w:rFonts w:ascii="Symbol" w:hAnsi="Symbol" w:hint="default"/>
      </w:rPr>
    </w:lvl>
    <w:lvl w:ilvl="4" w:tplc="040D0003" w:tentative="1">
      <w:start w:val="1"/>
      <w:numFmt w:val="bullet"/>
      <w:lvlText w:val="o"/>
      <w:lvlJc w:val="left"/>
      <w:pPr>
        <w:tabs>
          <w:tab w:val="num" w:pos="3600"/>
        </w:tabs>
        <w:ind w:left="3600" w:hanging="360"/>
      </w:pPr>
      <w:rPr>
        <w:rFonts w:ascii="Courier New" w:hAnsi="Courier New" w:hint="default"/>
      </w:rPr>
    </w:lvl>
    <w:lvl w:ilvl="5" w:tplc="040D0005" w:tentative="1">
      <w:start w:val="1"/>
      <w:numFmt w:val="bullet"/>
      <w:lvlText w:val=""/>
      <w:lvlJc w:val="left"/>
      <w:pPr>
        <w:tabs>
          <w:tab w:val="num" w:pos="4320"/>
        </w:tabs>
        <w:ind w:left="4320" w:hanging="360"/>
      </w:pPr>
      <w:rPr>
        <w:rFonts w:ascii="Wingdings" w:hAnsi="Wingdings" w:hint="default"/>
      </w:rPr>
    </w:lvl>
    <w:lvl w:ilvl="6" w:tplc="040D0001" w:tentative="1">
      <w:start w:val="1"/>
      <w:numFmt w:val="bullet"/>
      <w:lvlText w:val=""/>
      <w:lvlJc w:val="left"/>
      <w:pPr>
        <w:tabs>
          <w:tab w:val="num" w:pos="5040"/>
        </w:tabs>
        <w:ind w:left="5040" w:hanging="360"/>
      </w:pPr>
      <w:rPr>
        <w:rFonts w:ascii="Symbol" w:hAnsi="Symbol" w:hint="default"/>
      </w:rPr>
    </w:lvl>
    <w:lvl w:ilvl="7" w:tplc="040D0003" w:tentative="1">
      <w:start w:val="1"/>
      <w:numFmt w:val="bullet"/>
      <w:lvlText w:val="o"/>
      <w:lvlJc w:val="left"/>
      <w:pPr>
        <w:tabs>
          <w:tab w:val="num" w:pos="5760"/>
        </w:tabs>
        <w:ind w:left="5760" w:hanging="360"/>
      </w:pPr>
      <w:rPr>
        <w:rFonts w:ascii="Courier New" w:hAnsi="Courier New" w:hint="default"/>
      </w:rPr>
    </w:lvl>
    <w:lvl w:ilvl="8" w:tplc="040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FB09F2"/>
    <w:multiLevelType w:val="hybridMultilevel"/>
    <w:tmpl w:val="569282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53B2C70"/>
    <w:multiLevelType w:val="hybridMultilevel"/>
    <w:tmpl w:val="BC0A6BD4"/>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622378E"/>
    <w:multiLevelType w:val="hybridMultilevel"/>
    <w:tmpl w:val="C074B972"/>
    <w:lvl w:ilvl="0" w:tplc="FFFFFFFF">
      <w:numFmt w:val="irohaFullWidth"/>
      <w:lvlText w:val=""/>
      <w:lvlJc w:val="left"/>
      <w:pPr>
        <w:tabs>
          <w:tab w:val="num" w:pos="720"/>
        </w:tabs>
        <w:ind w:left="720" w:hanging="360"/>
      </w:pPr>
      <w:rPr>
        <w:rFonts w:ascii="Symbol" w:eastAsia="Times New Roman" w:hAnsi="Symbol" w:cs="David" w:hint="default"/>
      </w:rPr>
    </w:lvl>
    <w:lvl w:ilvl="1" w:tplc="FFFFFFFF" w:tentative="1">
      <w:start w:val="1"/>
      <w:numFmt w:val="irohaFullWidth"/>
      <w:lvlText w:val="o"/>
      <w:lvlJc w:val="left"/>
      <w:pPr>
        <w:tabs>
          <w:tab w:val="num" w:pos="1440"/>
        </w:tabs>
        <w:ind w:left="1440" w:hanging="360"/>
      </w:pPr>
      <w:rPr>
        <w:rFonts w:ascii="Courier New" w:hAnsi="Courier New" w:cs="Times New Roman" w:hint="default"/>
      </w:rPr>
    </w:lvl>
    <w:lvl w:ilvl="2" w:tplc="FFFFFFFF" w:tentative="1">
      <w:start w:val="1"/>
      <w:numFmt w:val="irohaFullWidth"/>
      <w:lvlText w:val=""/>
      <w:lvlJc w:val="left"/>
      <w:pPr>
        <w:tabs>
          <w:tab w:val="num" w:pos="2160"/>
        </w:tabs>
        <w:ind w:left="2160" w:hanging="360"/>
      </w:pPr>
      <w:rPr>
        <w:rFonts w:ascii="Wingdings" w:hAnsi="Wingdings" w:cs="Times New Roman" w:hint="default"/>
      </w:rPr>
    </w:lvl>
    <w:lvl w:ilvl="3" w:tplc="FFFFFFFF" w:tentative="1">
      <w:start w:val="1"/>
      <w:numFmt w:val="irohaFullWidth"/>
      <w:lvlText w:val=""/>
      <w:lvlJc w:val="left"/>
      <w:pPr>
        <w:tabs>
          <w:tab w:val="num" w:pos="2880"/>
        </w:tabs>
        <w:ind w:left="2880" w:hanging="360"/>
      </w:pPr>
      <w:rPr>
        <w:rFonts w:ascii="Symbol" w:hAnsi="Symbol" w:cs="Times New Roman" w:hint="default"/>
      </w:rPr>
    </w:lvl>
    <w:lvl w:ilvl="4" w:tplc="FFFFFFFF" w:tentative="1">
      <w:start w:val="1"/>
      <w:numFmt w:val="irohaFullWidth"/>
      <w:lvlText w:val="o"/>
      <w:lvlJc w:val="left"/>
      <w:pPr>
        <w:tabs>
          <w:tab w:val="num" w:pos="3600"/>
        </w:tabs>
        <w:ind w:left="3600" w:hanging="360"/>
      </w:pPr>
      <w:rPr>
        <w:rFonts w:ascii="Courier New" w:hAnsi="Courier New" w:cs="Times New Roman" w:hint="default"/>
      </w:rPr>
    </w:lvl>
    <w:lvl w:ilvl="5" w:tplc="FFFFFFFF" w:tentative="1">
      <w:start w:val="1"/>
      <w:numFmt w:val="irohaFullWidth"/>
      <w:lvlText w:val=""/>
      <w:lvlJc w:val="left"/>
      <w:pPr>
        <w:tabs>
          <w:tab w:val="num" w:pos="4320"/>
        </w:tabs>
        <w:ind w:left="4320" w:hanging="360"/>
      </w:pPr>
      <w:rPr>
        <w:rFonts w:ascii="Wingdings" w:hAnsi="Wingdings" w:cs="Times New Roman" w:hint="default"/>
      </w:rPr>
    </w:lvl>
    <w:lvl w:ilvl="6" w:tplc="FFFFFFFF" w:tentative="1">
      <w:start w:val="1"/>
      <w:numFmt w:val="irohaFullWidth"/>
      <w:lvlText w:val=""/>
      <w:lvlJc w:val="left"/>
      <w:pPr>
        <w:tabs>
          <w:tab w:val="num" w:pos="5040"/>
        </w:tabs>
        <w:ind w:left="5040" w:hanging="360"/>
      </w:pPr>
      <w:rPr>
        <w:rFonts w:ascii="Symbol" w:hAnsi="Symbol" w:cs="Times New Roman" w:hint="default"/>
      </w:rPr>
    </w:lvl>
    <w:lvl w:ilvl="7" w:tplc="FFFFFFFF" w:tentative="1">
      <w:start w:val="1"/>
      <w:numFmt w:val="irohaFullWidth"/>
      <w:lvlText w:val="o"/>
      <w:lvlJc w:val="left"/>
      <w:pPr>
        <w:tabs>
          <w:tab w:val="num" w:pos="5760"/>
        </w:tabs>
        <w:ind w:left="5760" w:hanging="360"/>
      </w:pPr>
      <w:rPr>
        <w:rFonts w:ascii="Courier New" w:hAnsi="Courier New" w:cs="Times New Roman" w:hint="default"/>
      </w:rPr>
    </w:lvl>
    <w:lvl w:ilvl="8" w:tplc="FFFFFFFF" w:tentative="1">
      <w:start w:val="1"/>
      <w:numFmt w:val="irohaFullWidth"/>
      <w:lvlText w:val=""/>
      <w:lvlJc w:val="left"/>
      <w:pPr>
        <w:tabs>
          <w:tab w:val="num" w:pos="6480"/>
        </w:tabs>
        <w:ind w:left="6480" w:hanging="360"/>
      </w:pPr>
      <w:rPr>
        <w:rFonts w:ascii="Wingdings" w:hAnsi="Wingdings" w:cs="Times New Roman" w:hint="default"/>
      </w:rPr>
    </w:lvl>
  </w:abstractNum>
  <w:abstractNum w:abstractNumId="20" w15:restartNumberingAfterBreak="0">
    <w:nsid w:val="47FC42E1"/>
    <w:multiLevelType w:val="hybridMultilevel"/>
    <w:tmpl w:val="00DC4C8A"/>
    <w:lvl w:ilvl="0" w:tplc="04090013">
      <w:start w:val="1"/>
      <w:numFmt w:val="hebrew1"/>
      <w:lvlText w:val="%1."/>
      <w:lvlJc w:val="center"/>
      <w:pPr>
        <w:tabs>
          <w:tab w:val="num" w:pos="720"/>
        </w:tabs>
        <w:ind w:left="720" w:hanging="360"/>
      </w:pPr>
      <w:rPr>
        <w:rFonts w:cs="Times New Roman"/>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AFD1CC2"/>
    <w:multiLevelType w:val="hybridMultilevel"/>
    <w:tmpl w:val="D8F250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DEA4157"/>
    <w:multiLevelType w:val="hybridMultilevel"/>
    <w:tmpl w:val="5692825E"/>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3DC707D"/>
    <w:multiLevelType w:val="hybridMultilevel"/>
    <w:tmpl w:val="57BAD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EB2C5B"/>
    <w:multiLevelType w:val="hybridMultilevel"/>
    <w:tmpl w:val="9F3081E0"/>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94A430E"/>
    <w:multiLevelType w:val="hybridMultilevel"/>
    <w:tmpl w:val="8B1AF5E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FCA0AB7"/>
    <w:multiLevelType w:val="hybridMultilevel"/>
    <w:tmpl w:val="959C2E50"/>
    <w:lvl w:ilvl="0" w:tplc="181C3F54">
      <w:start w:val="1"/>
      <w:numFmt w:val="decimal"/>
      <w:lvlText w:val="%1."/>
      <w:lvlJc w:val="left"/>
      <w:pPr>
        <w:ind w:left="714" w:hanging="360"/>
      </w:pPr>
      <w:rPr>
        <w:rFonts w:ascii="Times New Roman" w:eastAsia="Times New Roman" w:hAnsi="Times New Roman" w:cs="David"/>
      </w:rPr>
    </w:lvl>
    <w:lvl w:ilvl="1" w:tplc="04090019" w:tentative="1">
      <w:start w:val="1"/>
      <w:numFmt w:val="lowerLetter"/>
      <w:lvlText w:val="%2."/>
      <w:lvlJc w:val="left"/>
      <w:pPr>
        <w:ind w:left="1434" w:hanging="360"/>
      </w:pPr>
      <w:rPr>
        <w:rFonts w:cs="Times New Roman"/>
      </w:rPr>
    </w:lvl>
    <w:lvl w:ilvl="2" w:tplc="0409001B" w:tentative="1">
      <w:start w:val="1"/>
      <w:numFmt w:val="lowerRoman"/>
      <w:lvlText w:val="%3."/>
      <w:lvlJc w:val="right"/>
      <w:pPr>
        <w:ind w:left="2154" w:hanging="180"/>
      </w:pPr>
      <w:rPr>
        <w:rFonts w:cs="Times New Roman"/>
      </w:rPr>
    </w:lvl>
    <w:lvl w:ilvl="3" w:tplc="0409000F" w:tentative="1">
      <w:start w:val="1"/>
      <w:numFmt w:val="decimal"/>
      <w:lvlText w:val="%4."/>
      <w:lvlJc w:val="left"/>
      <w:pPr>
        <w:ind w:left="2874" w:hanging="360"/>
      </w:pPr>
      <w:rPr>
        <w:rFonts w:cs="Times New Roman"/>
      </w:rPr>
    </w:lvl>
    <w:lvl w:ilvl="4" w:tplc="04090019" w:tentative="1">
      <w:start w:val="1"/>
      <w:numFmt w:val="lowerLetter"/>
      <w:lvlText w:val="%5."/>
      <w:lvlJc w:val="left"/>
      <w:pPr>
        <w:ind w:left="3594" w:hanging="360"/>
      </w:pPr>
      <w:rPr>
        <w:rFonts w:cs="Times New Roman"/>
      </w:rPr>
    </w:lvl>
    <w:lvl w:ilvl="5" w:tplc="0409001B" w:tentative="1">
      <w:start w:val="1"/>
      <w:numFmt w:val="lowerRoman"/>
      <w:lvlText w:val="%6."/>
      <w:lvlJc w:val="right"/>
      <w:pPr>
        <w:ind w:left="4314" w:hanging="180"/>
      </w:pPr>
      <w:rPr>
        <w:rFonts w:cs="Times New Roman"/>
      </w:rPr>
    </w:lvl>
    <w:lvl w:ilvl="6" w:tplc="0409000F" w:tentative="1">
      <w:start w:val="1"/>
      <w:numFmt w:val="decimal"/>
      <w:lvlText w:val="%7."/>
      <w:lvlJc w:val="left"/>
      <w:pPr>
        <w:ind w:left="5034" w:hanging="360"/>
      </w:pPr>
      <w:rPr>
        <w:rFonts w:cs="Times New Roman"/>
      </w:rPr>
    </w:lvl>
    <w:lvl w:ilvl="7" w:tplc="04090019" w:tentative="1">
      <w:start w:val="1"/>
      <w:numFmt w:val="lowerLetter"/>
      <w:lvlText w:val="%8."/>
      <w:lvlJc w:val="left"/>
      <w:pPr>
        <w:ind w:left="5754" w:hanging="360"/>
      </w:pPr>
      <w:rPr>
        <w:rFonts w:cs="Times New Roman"/>
      </w:rPr>
    </w:lvl>
    <w:lvl w:ilvl="8" w:tplc="0409001B" w:tentative="1">
      <w:start w:val="1"/>
      <w:numFmt w:val="lowerRoman"/>
      <w:lvlText w:val="%9."/>
      <w:lvlJc w:val="right"/>
      <w:pPr>
        <w:ind w:left="6474" w:hanging="180"/>
      </w:pPr>
      <w:rPr>
        <w:rFonts w:cs="Times New Roman"/>
      </w:rPr>
    </w:lvl>
  </w:abstractNum>
  <w:abstractNum w:abstractNumId="27" w15:restartNumberingAfterBreak="0">
    <w:nsid w:val="61C21441"/>
    <w:multiLevelType w:val="hybridMultilevel"/>
    <w:tmpl w:val="81AC1EE4"/>
    <w:lvl w:ilvl="0" w:tplc="C130CC8A">
      <w:start w:val="1"/>
      <w:numFmt w:val="none"/>
      <w:lvlText w:val=""/>
      <w:lvlJc w:val="center"/>
      <w:pPr>
        <w:tabs>
          <w:tab w:val="num" w:pos="648"/>
        </w:tabs>
        <w:ind w:left="360" w:hanging="72"/>
      </w:pPr>
      <w:rPr>
        <w:rFonts w:ascii="Wingdings" w:hAnsi="Wingding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4421667"/>
    <w:multiLevelType w:val="hybridMultilevel"/>
    <w:tmpl w:val="ECB80450"/>
    <w:lvl w:ilvl="0" w:tplc="0409000F">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47C41A3"/>
    <w:multiLevelType w:val="hybridMultilevel"/>
    <w:tmpl w:val="5C823B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5F70C24"/>
    <w:multiLevelType w:val="hybridMultilevel"/>
    <w:tmpl w:val="04A8EF42"/>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DB50E66"/>
    <w:multiLevelType w:val="hybridMultilevel"/>
    <w:tmpl w:val="180E54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19233D4"/>
    <w:multiLevelType w:val="hybridMultilevel"/>
    <w:tmpl w:val="1A5A6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A20987"/>
    <w:multiLevelType w:val="hybridMultilevel"/>
    <w:tmpl w:val="7A3CF2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B856070"/>
    <w:multiLevelType w:val="hybridMultilevel"/>
    <w:tmpl w:val="9E44038E"/>
    <w:lvl w:ilvl="0" w:tplc="81CCDAEE">
      <w:start w:val="1"/>
      <w:numFmt w:val="decimal"/>
      <w:lvlText w:val="%1."/>
      <w:lvlJc w:val="left"/>
      <w:pPr>
        <w:ind w:left="717" w:hanging="360"/>
      </w:pPr>
      <w:rPr>
        <w:rFonts w:cs="Times New Roman" w:hint="default"/>
      </w:rPr>
    </w:lvl>
    <w:lvl w:ilvl="1" w:tplc="04090019" w:tentative="1">
      <w:start w:val="1"/>
      <w:numFmt w:val="lowerLetter"/>
      <w:lvlText w:val="%2."/>
      <w:lvlJc w:val="left"/>
      <w:pPr>
        <w:ind w:left="1437" w:hanging="360"/>
      </w:pPr>
      <w:rPr>
        <w:rFonts w:cs="Times New Roman"/>
      </w:rPr>
    </w:lvl>
    <w:lvl w:ilvl="2" w:tplc="0409001B" w:tentative="1">
      <w:start w:val="1"/>
      <w:numFmt w:val="lowerRoman"/>
      <w:lvlText w:val="%3."/>
      <w:lvlJc w:val="right"/>
      <w:pPr>
        <w:ind w:left="2157" w:hanging="180"/>
      </w:pPr>
      <w:rPr>
        <w:rFonts w:cs="Times New Roman"/>
      </w:rPr>
    </w:lvl>
    <w:lvl w:ilvl="3" w:tplc="0409000F" w:tentative="1">
      <w:start w:val="1"/>
      <w:numFmt w:val="decimal"/>
      <w:lvlText w:val="%4."/>
      <w:lvlJc w:val="left"/>
      <w:pPr>
        <w:ind w:left="2877" w:hanging="360"/>
      </w:pPr>
      <w:rPr>
        <w:rFonts w:cs="Times New Roman"/>
      </w:rPr>
    </w:lvl>
    <w:lvl w:ilvl="4" w:tplc="04090019" w:tentative="1">
      <w:start w:val="1"/>
      <w:numFmt w:val="lowerLetter"/>
      <w:lvlText w:val="%5."/>
      <w:lvlJc w:val="left"/>
      <w:pPr>
        <w:ind w:left="3597" w:hanging="360"/>
      </w:pPr>
      <w:rPr>
        <w:rFonts w:cs="Times New Roman"/>
      </w:rPr>
    </w:lvl>
    <w:lvl w:ilvl="5" w:tplc="0409001B" w:tentative="1">
      <w:start w:val="1"/>
      <w:numFmt w:val="lowerRoman"/>
      <w:lvlText w:val="%6."/>
      <w:lvlJc w:val="right"/>
      <w:pPr>
        <w:ind w:left="4317" w:hanging="180"/>
      </w:pPr>
      <w:rPr>
        <w:rFonts w:cs="Times New Roman"/>
      </w:rPr>
    </w:lvl>
    <w:lvl w:ilvl="6" w:tplc="0409000F" w:tentative="1">
      <w:start w:val="1"/>
      <w:numFmt w:val="decimal"/>
      <w:lvlText w:val="%7."/>
      <w:lvlJc w:val="left"/>
      <w:pPr>
        <w:ind w:left="5037" w:hanging="360"/>
      </w:pPr>
      <w:rPr>
        <w:rFonts w:cs="Times New Roman"/>
      </w:rPr>
    </w:lvl>
    <w:lvl w:ilvl="7" w:tplc="04090019" w:tentative="1">
      <w:start w:val="1"/>
      <w:numFmt w:val="lowerLetter"/>
      <w:lvlText w:val="%8."/>
      <w:lvlJc w:val="left"/>
      <w:pPr>
        <w:ind w:left="5757" w:hanging="360"/>
      </w:pPr>
      <w:rPr>
        <w:rFonts w:cs="Times New Roman"/>
      </w:rPr>
    </w:lvl>
    <w:lvl w:ilvl="8" w:tplc="0409001B" w:tentative="1">
      <w:start w:val="1"/>
      <w:numFmt w:val="lowerRoman"/>
      <w:lvlText w:val="%9."/>
      <w:lvlJc w:val="right"/>
      <w:pPr>
        <w:ind w:left="6477" w:hanging="180"/>
      </w:pPr>
      <w:rPr>
        <w:rFonts w:cs="Times New Roman"/>
      </w:rPr>
    </w:lvl>
  </w:abstractNum>
  <w:abstractNum w:abstractNumId="35" w15:restartNumberingAfterBreak="0">
    <w:nsid w:val="7E6C3A87"/>
    <w:multiLevelType w:val="hybridMultilevel"/>
    <w:tmpl w:val="FBF217BC"/>
    <w:lvl w:ilvl="0" w:tplc="B478E90C">
      <w:start w:val="1"/>
      <w:numFmt w:val="hebrew1"/>
      <w:lvlText w:val="(%1)"/>
      <w:lvlJc w:val="left"/>
      <w:pPr>
        <w:ind w:left="1074" w:hanging="360"/>
      </w:pPr>
      <w:rPr>
        <w:rFonts w:cs="Times New Roman" w:hint="default"/>
        <w:sz w:val="2"/>
        <w:szCs w:val="20"/>
      </w:rPr>
    </w:lvl>
    <w:lvl w:ilvl="1" w:tplc="04090019" w:tentative="1">
      <w:start w:val="1"/>
      <w:numFmt w:val="lowerLetter"/>
      <w:lvlText w:val="%2."/>
      <w:lvlJc w:val="left"/>
      <w:pPr>
        <w:ind w:left="1794" w:hanging="360"/>
      </w:pPr>
      <w:rPr>
        <w:rFonts w:cs="Times New Roman"/>
      </w:rPr>
    </w:lvl>
    <w:lvl w:ilvl="2" w:tplc="0409001B" w:tentative="1">
      <w:start w:val="1"/>
      <w:numFmt w:val="lowerRoman"/>
      <w:lvlText w:val="%3."/>
      <w:lvlJc w:val="right"/>
      <w:pPr>
        <w:ind w:left="2514" w:hanging="180"/>
      </w:pPr>
      <w:rPr>
        <w:rFonts w:cs="Times New Roman"/>
      </w:rPr>
    </w:lvl>
    <w:lvl w:ilvl="3" w:tplc="0409000F" w:tentative="1">
      <w:start w:val="1"/>
      <w:numFmt w:val="decimal"/>
      <w:lvlText w:val="%4."/>
      <w:lvlJc w:val="left"/>
      <w:pPr>
        <w:ind w:left="3234" w:hanging="360"/>
      </w:pPr>
      <w:rPr>
        <w:rFonts w:cs="Times New Roman"/>
      </w:rPr>
    </w:lvl>
    <w:lvl w:ilvl="4" w:tplc="04090019" w:tentative="1">
      <w:start w:val="1"/>
      <w:numFmt w:val="lowerLetter"/>
      <w:lvlText w:val="%5."/>
      <w:lvlJc w:val="left"/>
      <w:pPr>
        <w:ind w:left="3954" w:hanging="360"/>
      </w:pPr>
      <w:rPr>
        <w:rFonts w:cs="Times New Roman"/>
      </w:rPr>
    </w:lvl>
    <w:lvl w:ilvl="5" w:tplc="0409001B" w:tentative="1">
      <w:start w:val="1"/>
      <w:numFmt w:val="lowerRoman"/>
      <w:lvlText w:val="%6."/>
      <w:lvlJc w:val="right"/>
      <w:pPr>
        <w:ind w:left="4674" w:hanging="180"/>
      </w:pPr>
      <w:rPr>
        <w:rFonts w:cs="Times New Roman"/>
      </w:rPr>
    </w:lvl>
    <w:lvl w:ilvl="6" w:tplc="0409000F" w:tentative="1">
      <w:start w:val="1"/>
      <w:numFmt w:val="decimal"/>
      <w:lvlText w:val="%7."/>
      <w:lvlJc w:val="left"/>
      <w:pPr>
        <w:ind w:left="5394" w:hanging="360"/>
      </w:pPr>
      <w:rPr>
        <w:rFonts w:cs="Times New Roman"/>
      </w:rPr>
    </w:lvl>
    <w:lvl w:ilvl="7" w:tplc="04090019" w:tentative="1">
      <w:start w:val="1"/>
      <w:numFmt w:val="lowerLetter"/>
      <w:lvlText w:val="%8."/>
      <w:lvlJc w:val="left"/>
      <w:pPr>
        <w:ind w:left="6114" w:hanging="360"/>
      </w:pPr>
      <w:rPr>
        <w:rFonts w:cs="Times New Roman"/>
      </w:rPr>
    </w:lvl>
    <w:lvl w:ilvl="8" w:tplc="0409001B" w:tentative="1">
      <w:start w:val="1"/>
      <w:numFmt w:val="lowerRoman"/>
      <w:lvlText w:val="%9."/>
      <w:lvlJc w:val="right"/>
      <w:pPr>
        <w:ind w:left="6834" w:hanging="180"/>
      </w:pPr>
      <w:rPr>
        <w:rFonts w:cs="Times New Roman"/>
      </w:rPr>
    </w:lvl>
  </w:abstractNum>
  <w:num w:numId="1">
    <w:abstractNumId w:val="27"/>
  </w:num>
  <w:num w:numId="2">
    <w:abstractNumId w:val="13"/>
  </w:num>
  <w:num w:numId="3">
    <w:abstractNumId w:val="16"/>
  </w:num>
  <w:num w:numId="4">
    <w:abstractNumId w:val="19"/>
  </w:num>
  <w:num w:numId="5">
    <w:abstractNumId w:val="2"/>
  </w:num>
  <w:num w:numId="6">
    <w:abstractNumId w:val="18"/>
  </w:num>
  <w:num w:numId="7">
    <w:abstractNumId w:val="1"/>
  </w:num>
  <w:num w:numId="8">
    <w:abstractNumId w:val="23"/>
  </w:num>
  <w:num w:numId="9">
    <w:abstractNumId w:val="3"/>
  </w:num>
  <w:num w:numId="10">
    <w:abstractNumId w:val="24"/>
  </w:num>
  <w:num w:numId="11">
    <w:abstractNumId w:val="30"/>
  </w:num>
  <w:num w:numId="12">
    <w:abstractNumId w:val="14"/>
  </w:num>
  <w:num w:numId="13">
    <w:abstractNumId w:val="32"/>
  </w:num>
  <w:num w:numId="14">
    <w:abstractNumId w:val="28"/>
  </w:num>
  <w:num w:numId="15">
    <w:abstractNumId w:val="10"/>
  </w:num>
  <w:num w:numId="16">
    <w:abstractNumId w:val="7"/>
  </w:num>
  <w:num w:numId="17">
    <w:abstractNumId w:val="20"/>
  </w:num>
  <w:num w:numId="18">
    <w:abstractNumId w:val="22"/>
  </w:num>
  <w:num w:numId="19">
    <w:abstractNumId w:val="17"/>
  </w:num>
  <w:num w:numId="20">
    <w:abstractNumId w:val="5"/>
  </w:num>
  <w:num w:numId="21">
    <w:abstractNumId w:val="9"/>
  </w:num>
  <w:num w:numId="22">
    <w:abstractNumId w:val="4"/>
  </w:num>
  <w:num w:numId="23">
    <w:abstractNumId w:val="29"/>
  </w:num>
  <w:num w:numId="24">
    <w:abstractNumId w:val="21"/>
  </w:num>
  <w:num w:numId="25">
    <w:abstractNumId w:val="15"/>
  </w:num>
  <w:num w:numId="26">
    <w:abstractNumId w:val="25"/>
  </w:num>
  <w:num w:numId="27">
    <w:abstractNumId w:val="8"/>
  </w:num>
  <w:num w:numId="28">
    <w:abstractNumId w:val="33"/>
  </w:num>
  <w:num w:numId="29">
    <w:abstractNumId w:val="11"/>
  </w:num>
  <w:num w:numId="30">
    <w:abstractNumId w:val="34"/>
  </w:num>
  <w:num w:numId="31">
    <w:abstractNumId w:val="31"/>
  </w:num>
  <w:num w:numId="32">
    <w:abstractNumId w:val="0"/>
  </w:num>
  <w:num w:numId="33">
    <w:abstractNumId w:val="6"/>
  </w:num>
  <w:num w:numId="34">
    <w:abstractNumId w:val="26"/>
  </w:num>
  <w:num w:numId="35">
    <w:abstractNumId w:val="1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FEB"/>
    <w:rsid w:val="0000267A"/>
    <w:rsid w:val="0001496B"/>
    <w:rsid w:val="00022AF4"/>
    <w:rsid w:val="00027EB6"/>
    <w:rsid w:val="00032D4E"/>
    <w:rsid w:val="00036B4D"/>
    <w:rsid w:val="0005412E"/>
    <w:rsid w:val="000756B2"/>
    <w:rsid w:val="00075E20"/>
    <w:rsid w:val="00080161"/>
    <w:rsid w:val="0008360E"/>
    <w:rsid w:val="0008394C"/>
    <w:rsid w:val="00086D03"/>
    <w:rsid w:val="000903A3"/>
    <w:rsid w:val="000A33E2"/>
    <w:rsid w:val="000A70BC"/>
    <w:rsid w:val="000B09CD"/>
    <w:rsid w:val="000B1A94"/>
    <w:rsid w:val="000B2497"/>
    <w:rsid w:val="000B56C3"/>
    <w:rsid w:val="000B6603"/>
    <w:rsid w:val="000C01E5"/>
    <w:rsid w:val="000C3071"/>
    <w:rsid w:val="000C6ED2"/>
    <w:rsid w:val="000D4D3E"/>
    <w:rsid w:val="000D7412"/>
    <w:rsid w:val="000E3627"/>
    <w:rsid w:val="000F49A5"/>
    <w:rsid w:val="000F6F50"/>
    <w:rsid w:val="001000BC"/>
    <w:rsid w:val="00107B9B"/>
    <w:rsid w:val="00110009"/>
    <w:rsid w:val="00114F54"/>
    <w:rsid w:val="001236B6"/>
    <w:rsid w:val="00126278"/>
    <w:rsid w:val="00126F03"/>
    <w:rsid w:val="001273D3"/>
    <w:rsid w:val="00137408"/>
    <w:rsid w:val="00142BFA"/>
    <w:rsid w:val="001525AD"/>
    <w:rsid w:val="00160D00"/>
    <w:rsid w:val="00166F2A"/>
    <w:rsid w:val="0017536C"/>
    <w:rsid w:val="00175902"/>
    <w:rsid w:val="00176A7E"/>
    <w:rsid w:val="00182988"/>
    <w:rsid w:val="001835B9"/>
    <w:rsid w:val="0018610D"/>
    <w:rsid w:val="00192176"/>
    <w:rsid w:val="001A676B"/>
    <w:rsid w:val="001A7452"/>
    <w:rsid w:val="001A7990"/>
    <w:rsid w:val="001B3667"/>
    <w:rsid w:val="001B7AA5"/>
    <w:rsid w:val="001C5B8B"/>
    <w:rsid w:val="001D1B5D"/>
    <w:rsid w:val="001D600E"/>
    <w:rsid w:val="001D7540"/>
    <w:rsid w:val="001E6265"/>
    <w:rsid w:val="001F04B0"/>
    <w:rsid w:val="001F0D84"/>
    <w:rsid w:val="001F6B2B"/>
    <w:rsid w:val="00202C6F"/>
    <w:rsid w:val="002108CF"/>
    <w:rsid w:val="00210E16"/>
    <w:rsid w:val="00213587"/>
    <w:rsid w:val="0021631E"/>
    <w:rsid w:val="002303E5"/>
    <w:rsid w:val="002478E6"/>
    <w:rsid w:val="002511DB"/>
    <w:rsid w:val="002527C1"/>
    <w:rsid w:val="00254D5C"/>
    <w:rsid w:val="00255ABB"/>
    <w:rsid w:val="002613EA"/>
    <w:rsid w:val="00261C1D"/>
    <w:rsid w:val="002640BB"/>
    <w:rsid w:val="002653DB"/>
    <w:rsid w:val="002678C3"/>
    <w:rsid w:val="00277085"/>
    <w:rsid w:val="00282446"/>
    <w:rsid w:val="00287788"/>
    <w:rsid w:val="0028781D"/>
    <w:rsid w:val="002937D8"/>
    <w:rsid w:val="002A2B81"/>
    <w:rsid w:val="002A424E"/>
    <w:rsid w:val="002A474B"/>
    <w:rsid w:val="002B5E65"/>
    <w:rsid w:val="002C12D4"/>
    <w:rsid w:val="002C327E"/>
    <w:rsid w:val="002C5A5B"/>
    <w:rsid w:val="002D3E09"/>
    <w:rsid w:val="002D765B"/>
    <w:rsid w:val="002E4828"/>
    <w:rsid w:val="002E5D8D"/>
    <w:rsid w:val="002E7FC6"/>
    <w:rsid w:val="002F07B6"/>
    <w:rsid w:val="002F5045"/>
    <w:rsid w:val="003007EC"/>
    <w:rsid w:val="00301D72"/>
    <w:rsid w:val="003021AE"/>
    <w:rsid w:val="00311696"/>
    <w:rsid w:val="00311A6B"/>
    <w:rsid w:val="00313F97"/>
    <w:rsid w:val="0031432E"/>
    <w:rsid w:val="003164C2"/>
    <w:rsid w:val="003302BF"/>
    <w:rsid w:val="00331DEB"/>
    <w:rsid w:val="003322BC"/>
    <w:rsid w:val="00340A80"/>
    <w:rsid w:val="003426C4"/>
    <w:rsid w:val="00344A46"/>
    <w:rsid w:val="0035060B"/>
    <w:rsid w:val="00351DDF"/>
    <w:rsid w:val="0035406E"/>
    <w:rsid w:val="00354D01"/>
    <w:rsid w:val="00356886"/>
    <w:rsid w:val="0036732B"/>
    <w:rsid w:val="00367D14"/>
    <w:rsid w:val="00375703"/>
    <w:rsid w:val="00383943"/>
    <w:rsid w:val="00391376"/>
    <w:rsid w:val="0039560E"/>
    <w:rsid w:val="00396474"/>
    <w:rsid w:val="00396A89"/>
    <w:rsid w:val="00396E2E"/>
    <w:rsid w:val="003A09B1"/>
    <w:rsid w:val="003A2265"/>
    <w:rsid w:val="003B339E"/>
    <w:rsid w:val="003C0419"/>
    <w:rsid w:val="003C0FB5"/>
    <w:rsid w:val="003C121A"/>
    <w:rsid w:val="003C3363"/>
    <w:rsid w:val="003D0E6B"/>
    <w:rsid w:val="003D30AA"/>
    <w:rsid w:val="003E28E3"/>
    <w:rsid w:val="003E2EBE"/>
    <w:rsid w:val="003E4627"/>
    <w:rsid w:val="003F10E8"/>
    <w:rsid w:val="003F3E5E"/>
    <w:rsid w:val="003F6BE1"/>
    <w:rsid w:val="0041121B"/>
    <w:rsid w:val="0041595D"/>
    <w:rsid w:val="0041684D"/>
    <w:rsid w:val="00422A8B"/>
    <w:rsid w:val="00425A6B"/>
    <w:rsid w:val="00430BFE"/>
    <w:rsid w:val="00442975"/>
    <w:rsid w:val="00444ED5"/>
    <w:rsid w:val="004564AC"/>
    <w:rsid w:val="0046394B"/>
    <w:rsid w:val="00463CAD"/>
    <w:rsid w:val="00465C9A"/>
    <w:rsid w:val="00472C18"/>
    <w:rsid w:val="004745AE"/>
    <w:rsid w:val="00475CEC"/>
    <w:rsid w:val="00482A85"/>
    <w:rsid w:val="00483394"/>
    <w:rsid w:val="004840D6"/>
    <w:rsid w:val="004934C5"/>
    <w:rsid w:val="004935F3"/>
    <w:rsid w:val="004A6145"/>
    <w:rsid w:val="004B5059"/>
    <w:rsid w:val="004B57CD"/>
    <w:rsid w:val="004C2370"/>
    <w:rsid w:val="004C2827"/>
    <w:rsid w:val="004D0937"/>
    <w:rsid w:val="004D2532"/>
    <w:rsid w:val="004D5D6B"/>
    <w:rsid w:val="004D6488"/>
    <w:rsid w:val="004E17E3"/>
    <w:rsid w:val="004E2ECB"/>
    <w:rsid w:val="004E43BA"/>
    <w:rsid w:val="004E4A57"/>
    <w:rsid w:val="004F293A"/>
    <w:rsid w:val="004F664D"/>
    <w:rsid w:val="005166CC"/>
    <w:rsid w:val="005230EE"/>
    <w:rsid w:val="005271D3"/>
    <w:rsid w:val="00542FFA"/>
    <w:rsid w:val="00543382"/>
    <w:rsid w:val="00547EA0"/>
    <w:rsid w:val="00555DD7"/>
    <w:rsid w:val="00562678"/>
    <w:rsid w:val="00567A52"/>
    <w:rsid w:val="00567B61"/>
    <w:rsid w:val="00570A15"/>
    <w:rsid w:val="005760EF"/>
    <w:rsid w:val="005764B5"/>
    <w:rsid w:val="00581B41"/>
    <w:rsid w:val="005954E0"/>
    <w:rsid w:val="005A4583"/>
    <w:rsid w:val="005A79E2"/>
    <w:rsid w:val="005C1B80"/>
    <w:rsid w:val="005C1DCD"/>
    <w:rsid w:val="005D0361"/>
    <w:rsid w:val="005D45A5"/>
    <w:rsid w:val="005D6B80"/>
    <w:rsid w:val="005E0A03"/>
    <w:rsid w:val="005E3A0F"/>
    <w:rsid w:val="005F1A3C"/>
    <w:rsid w:val="005F4C8E"/>
    <w:rsid w:val="006010EA"/>
    <w:rsid w:val="00606B1C"/>
    <w:rsid w:val="0060721D"/>
    <w:rsid w:val="006138AE"/>
    <w:rsid w:val="006201EB"/>
    <w:rsid w:val="00620F7D"/>
    <w:rsid w:val="00625BF1"/>
    <w:rsid w:val="006268A1"/>
    <w:rsid w:val="00626A36"/>
    <w:rsid w:val="00631452"/>
    <w:rsid w:val="00631E85"/>
    <w:rsid w:val="00632942"/>
    <w:rsid w:val="00637E05"/>
    <w:rsid w:val="00641B1C"/>
    <w:rsid w:val="006527FA"/>
    <w:rsid w:val="00670E3E"/>
    <w:rsid w:val="00673688"/>
    <w:rsid w:val="00675486"/>
    <w:rsid w:val="00692A0C"/>
    <w:rsid w:val="00693335"/>
    <w:rsid w:val="00694D0E"/>
    <w:rsid w:val="006A00EA"/>
    <w:rsid w:val="006A3575"/>
    <w:rsid w:val="006A3EF2"/>
    <w:rsid w:val="006B2769"/>
    <w:rsid w:val="006D6486"/>
    <w:rsid w:val="006D6EDE"/>
    <w:rsid w:val="006D7EF7"/>
    <w:rsid w:val="006E0214"/>
    <w:rsid w:val="006E0C59"/>
    <w:rsid w:val="006E7CC3"/>
    <w:rsid w:val="006F1D6E"/>
    <w:rsid w:val="006F78FD"/>
    <w:rsid w:val="0070537D"/>
    <w:rsid w:val="00705EE9"/>
    <w:rsid w:val="007134E8"/>
    <w:rsid w:val="00714FFC"/>
    <w:rsid w:val="00715A4B"/>
    <w:rsid w:val="00715ACC"/>
    <w:rsid w:val="00723ACC"/>
    <w:rsid w:val="007279B6"/>
    <w:rsid w:val="0073128F"/>
    <w:rsid w:val="00734A35"/>
    <w:rsid w:val="0073560B"/>
    <w:rsid w:val="00744206"/>
    <w:rsid w:val="00746E49"/>
    <w:rsid w:val="007544C5"/>
    <w:rsid w:val="00756ED1"/>
    <w:rsid w:val="007639EF"/>
    <w:rsid w:val="00785415"/>
    <w:rsid w:val="007A6293"/>
    <w:rsid w:val="007C3E2B"/>
    <w:rsid w:val="007D15DE"/>
    <w:rsid w:val="007D2829"/>
    <w:rsid w:val="007D6E1F"/>
    <w:rsid w:val="007E647D"/>
    <w:rsid w:val="007F44D8"/>
    <w:rsid w:val="008120E6"/>
    <w:rsid w:val="00812EB1"/>
    <w:rsid w:val="00820C8E"/>
    <w:rsid w:val="0082488A"/>
    <w:rsid w:val="00827B1A"/>
    <w:rsid w:val="0083402E"/>
    <w:rsid w:val="008419DA"/>
    <w:rsid w:val="00842E88"/>
    <w:rsid w:val="00854B46"/>
    <w:rsid w:val="00854BCF"/>
    <w:rsid w:val="00855EEB"/>
    <w:rsid w:val="00867D31"/>
    <w:rsid w:val="008805AD"/>
    <w:rsid w:val="00882AF4"/>
    <w:rsid w:val="00882D6B"/>
    <w:rsid w:val="008902BB"/>
    <w:rsid w:val="00891003"/>
    <w:rsid w:val="008B092A"/>
    <w:rsid w:val="008B1832"/>
    <w:rsid w:val="008B5FE8"/>
    <w:rsid w:val="008C189D"/>
    <w:rsid w:val="008C4B98"/>
    <w:rsid w:val="008C6383"/>
    <w:rsid w:val="008D1190"/>
    <w:rsid w:val="008D11D1"/>
    <w:rsid w:val="008D13E4"/>
    <w:rsid w:val="008D7AB3"/>
    <w:rsid w:val="008E2D99"/>
    <w:rsid w:val="008E5195"/>
    <w:rsid w:val="008E7A03"/>
    <w:rsid w:val="008F1048"/>
    <w:rsid w:val="008F2AEC"/>
    <w:rsid w:val="008F5842"/>
    <w:rsid w:val="008F7D6F"/>
    <w:rsid w:val="00902461"/>
    <w:rsid w:val="009311AE"/>
    <w:rsid w:val="00932750"/>
    <w:rsid w:val="00940F3E"/>
    <w:rsid w:val="00944D2F"/>
    <w:rsid w:val="00952D0C"/>
    <w:rsid w:val="00954011"/>
    <w:rsid w:val="00955CD0"/>
    <w:rsid w:val="0096415F"/>
    <w:rsid w:val="0096454B"/>
    <w:rsid w:val="00967009"/>
    <w:rsid w:val="00970AE4"/>
    <w:rsid w:val="00972296"/>
    <w:rsid w:val="0097335B"/>
    <w:rsid w:val="0097579C"/>
    <w:rsid w:val="009849B9"/>
    <w:rsid w:val="009863FF"/>
    <w:rsid w:val="009A060E"/>
    <w:rsid w:val="009A066B"/>
    <w:rsid w:val="009B2487"/>
    <w:rsid w:val="009B5591"/>
    <w:rsid w:val="009C0C6D"/>
    <w:rsid w:val="009C0F37"/>
    <w:rsid w:val="009C3947"/>
    <w:rsid w:val="009D3E7B"/>
    <w:rsid w:val="009D4EE8"/>
    <w:rsid w:val="009E08A2"/>
    <w:rsid w:val="009E39F0"/>
    <w:rsid w:val="009F4EF4"/>
    <w:rsid w:val="009F4F0E"/>
    <w:rsid w:val="009F6DDA"/>
    <w:rsid w:val="00A009A1"/>
    <w:rsid w:val="00A03761"/>
    <w:rsid w:val="00A0545A"/>
    <w:rsid w:val="00A10034"/>
    <w:rsid w:val="00A120F0"/>
    <w:rsid w:val="00A20B2F"/>
    <w:rsid w:val="00A2442F"/>
    <w:rsid w:val="00A26919"/>
    <w:rsid w:val="00A323F4"/>
    <w:rsid w:val="00A33791"/>
    <w:rsid w:val="00A36B3B"/>
    <w:rsid w:val="00A438C6"/>
    <w:rsid w:val="00A4470B"/>
    <w:rsid w:val="00A548D5"/>
    <w:rsid w:val="00A5786D"/>
    <w:rsid w:val="00A60B1E"/>
    <w:rsid w:val="00A62A57"/>
    <w:rsid w:val="00A64EFC"/>
    <w:rsid w:val="00A65DA8"/>
    <w:rsid w:val="00A66FF3"/>
    <w:rsid w:val="00A72CDE"/>
    <w:rsid w:val="00A81E14"/>
    <w:rsid w:val="00A83352"/>
    <w:rsid w:val="00A86C59"/>
    <w:rsid w:val="00AA1E04"/>
    <w:rsid w:val="00AA4ED2"/>
    <w:rsid w:val="00AA6B05"/>
    <w:rsid w:val="00AB0DBC"/>
    <w:rsid w:val="00AB40FD"/>
    <w:rsid w:val="00AB6058"/>
    <w:rsid w:val="00AC04B5"/>
    <w:rsid w:val="00AC1F80"/>
    <w:rsid w:val="00AD2AB7"/>
    <w:rsid w:val="00AD5DF3"/>
    <w:rsid w:val="00AF2271"/>
    <w:rsid w:val="00AF62DB"/>
    <w:rsid w:val="00B04984"/>
    <w:rsid w:val="00B04E45"/>
    <w:rsid w:val="00B0675F"/>
    <w:rsid w:val="00B1161C"/>
    <w:rsid w:val="00B12284"/>
    <w:rsid w:val="00B23145"/>
    <w:rsid w:val="00B34069"/>
    <w:rsid w:val="00B3502D"/>
    <w:rsid w:val="00B35509"/>
    <w:rsid w:val="00B37493"/>
    <w:rsid w:val="00B40C8C"/>
    <w:rsid w:val="00B4279F"/>
    <w:rsid w:val="00B5051C"/>
    <w:rsid w:val="00B5322E"/>
    <w:rsid w:val="00B5518E"/>
    <w:rsid w:val="00B553E7"/>
    <w:rsid w:val="00B57B41"/>
    <w:rsid w:val="00B636CB"/>
    <w:rsid w:val="00B63A56"/>
    <w:rsid w:val="00B67482"/>
    <w:rsid w:val="00B7387B"/>
    <w:rsid w:val="00B919F0"/>
    <w:rsid w:val="00B92490"/>
    <w:rsid w:val="00B9326E"/>
    <w:rsid w:val="00B955FE"/>
    <w:rsid w:val="00B95C6C"/>
    <w:rsid w:val="00BA5504"/>
    <w:rsid w:val="00BA590E"/>
    <w:rsid w:val="00BB32F6"/>
    <w:rsid w:val="00BC10EA"/>
    <w:rsid w:val="00BC6E48"/>
    <w:rsid w:val="00BC7632"/>
    <w:rsid w:val="00BE0061"/>
    <w:rsid w:val="00BE47A7"/>
    <w:rsid w:val="00BE513A"/>
    <w:rsid w:val="00BF52DE"/>
    <w:rsid w:val="00BF5665"/>
    <w:rsid w:val="00C0071D"/>
    <w:rsid w:val="00C2659A"/>
    <w:rsid w:val="00C374FF"/>
    <w:rsid w:val="00C40E28"/>
    <w:rsid w:val="00C410BA"/>
    <w:rsid w:val="00C50EF0"/>
    <w:rsid w:val="00C51163"/>
    <w:rsid w:val="00C554A4"/>
    <w:rsid w:val="00C67111"/>
    <w:rsid w:val="00C72C04"/>
    <w:rsid w:val="00C76D27"/>
    <w:rsid w:val="00C77CA0"/>
    <w:rsid w:val="00C831E4"/>
    <w:rsid w:val="00C840CE"/>
    <w:rsid w:val="00C849D8"/>
    <w:rsid w:val="00C8527E"/>
    <w:rsid w:val="00C91767"/>
    <w:rsid w:val="00CA2F50"/>
    <w:rsid w:val="00CB3A5C"/>
    <w:rsid w:val="00CB7799"/>
    <w:rsid w:val="00CE0747"/>
    <w:rsid w:val="00CE39DC"/>
    <w:rsid w:val="00CE455D"/>
    <w:rsid w:val="00CE6D42"/>
    <w:rsid w:val="00CF5D85"/>
    <w:rsid w:val="00D0580D"/>
    <w:rsid w:val="00D07113"/>
    <w:rsid w:val="00D075E8"/>
    <w:rsid w:val="00D11FEB"/>
    <w:rsid w:val="00D12257"/>
    <w:rsid w:val="00D2549A"/>
    <w:rsid w:val="00D33BC0"/>
    <w:rsid w:val="00D4157C"/>
    <w:rsid w:val="00D41744"/>
    <w:rsid w:val="00D521ED"/>
    <w:rsid w:val="00D67299"/>
    <w:rsid w:val="00D71ABE"/>
    <w:rsid w:val="00D746A3"/>
    <w:rsid w:val="00D86EB5"/>
    <w:rsid w:val="00D92345"/>
    <w:rsid w:val="00D95489"/>
    <w:rsid w:val="00D977F0"/>
    <w:rsid w:val="00DA66D4"/>
    <w:rsid w:val="00DB1328"/>
    <w:rsid w:val="00DB26B2"/>
    <w:rsid w:val="00DB279D"/>
    <w:rsid w:val="00DB4B88"/>
    <w:rsid w:val="00DB5679"/>
    <w:rsid w:val="00DC23F1"/>
    <w:rsid w:val="00DC7208"/>
    <w:rsid w:val="00DC7D2C"/>
    <w:rsid w:val="00DD294C"/>
    <w:rsid w:val="00DE1619"/>
    <w:rsid w:val="00DE5411"/>
    <w:rsid w:val="00DE719B"/>
    <w:rsid w:val="00DF362F"/>
    <w:rsid w:val="00E06104"/>
    <w:rsid w:val="00E1234F"/>
    <w:rsid w:val="00E125BA"/>
    <w:rsid w:val="00E14B8A"/>
    <w:rsid w:val="00E20F74"/>
    <w:rsid w:val="00E21C2A"/>
    <w:rsid w:val="00E30805"/>
    <w:rsid w:val="00E34578"/>
    <w:rsid w:val="00E354A8"/>
    <w:rsid w:val="00E402E9"/>
    <w:rsid w:val="00E43059"/>
    <w:rsid w:val="00E43A7C"/>
    <w:rsid w:val="00E543B0"/>
    <w:rsid w:val="00E55679"/>
    <w:rsid w:val="00E55F68"/>
    <w:rsid w:val="00E56C76"/>
    <w:rsid w:val="00E62069"/>
    <w:rsid w:val="00E66358"/>
    <w:rsid w:val="00E66C1A"/>
    <w:rsid w:val="00E6738D"/>
    <w:rsid w:val="00E70552"/>
    <w:rsid w:val="00E7124B"/>
    <w:rsid w:val="00E828A5"/>
    <w:rsid w:val="00EB47AA"/>
    <w:rsid w:val="00EB71F2"/>
    <w:rsid w:val="00EC5994"/>
    <w:rsid w:val="00ED40FF"/>
    <w:rsid w:val="00ED7881"/>
    <w:rsid w:val="00EE0052"/>
    <w:rsid w:val="00EE3A9C"/>
    <w:rsid w:val="00EE5121"/>
    <w:rsid w:val="00EF1A93"/>
    <w:rsid w:val="00EF5B62"/>
    <w:rsid w:val="00EF68EB"/>
    <w:rsid w:val="00F03157"/>
    <w:rsid w:val="00F034E8"/>
    <w:rsid w:val="00F03FF2"/>
    <w:rsid w:val="00F10201"/>
    <w:rsid w:val="00F11141"/>
    <w:rsid w:val="00F21213"/>
    <w:rsid w:val="00F27E2E"/>
    <w:rsid w:val="00F32250"/>
    <w:rsid w:val="00F33278"/>
    <w:rsid w:val="00F3632B"/>
    <w:rsid w:val="00F41A17"/>
    <w:rsid w:val="00F4490C"/>
    <w:rsid w:val="00F47538"/>
    <w:rsid w:val="00F55578"/>
    <w:rsid w:val="00F56111"/>
    <w:rsid w:val="00F71460"/>
    <w:rsid w:val="00F724D7"/>
    <w:rsid w:val="00F7364F"/>
    <w:rsid w:val="00F75976"/>
    <w:rsid w:val="00F81977"/>
    <w:rsid w:val="00F848CD"/>
    <w:rsid w:val="00F87124"/>
    <w:rsid w:val="00F90C98"/>
    <w:rsid w:val="00F920D3"/>
    <w:rsid w:val="00FA28DB"/>
    <w:rsid w:val="00FA3BEF"/>
    <w:rsid w:val="00FA4223"/>
    <w:rsid w:val="00FA54FD"/>
    <w:rsid w:val="00FB07AB"/>
    <w:rsid w:val="00FB14A6"/>
    <w:rsid w:val="00FB2EDD"/>
    <w:rsid w:val="00FB3DA8"/>
    <w:rsid w:val="00FB4F93"/>
    <w:rsid w:val="00FC4D5D"/>
    <w:rsid w:val="00FC56D0"/>
    <w:rsid w:val="00FC6B84"/>
    <w:rsid w:val="00FC7DAF"/>
    <w:rsid w:val="00FD3B54"/>
    <w:rsid w:val="00FE0CC4"/>
    <w:rsid w:val="00FE2EEE"/>
    <w:rsid w:val="00FE3158"/>
    <w:rsid w:val="00FF49BF"/>
    <w:rsid w:val="00FF5D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6B5B09"/>
  <w15:docId w15:val="{CD85B404-6FF4-4311-8433-76BC83B9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sz w:val="22"/>
        <w:szCs w:val="22"/>
        <w:lang w:val="en-US" w:eastAsia="en-US" w:bidi="he-IL"/>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28DB"/>
    <w:pPr>
      <w:bidi/>
    </w:pPr>
    <w:rPr>
      <w:sz w:val="20"/>
      <w:szCs w:val="20"/>
    </w:rPr>
  </w:style>
  <w:style w:type="paragraph" w:styleId="1">
    <w:name w:val="heading 1"/>
    <w:basedOn w:val="a"/>
    <w:next w:val="a"/>
    <w:link w:val="10"/>
    <w:uiPriority w:val="99"/>
    <w:qFormat/>
    <w:rsid w:val="00FA28DB"/>
    <w:pPr>
      <w:keepNext/>
      <w:jc w:val="right"/>
      <w:outlineLvl w:val="0"/>
    </w:pPr>
    <w:rPr>
      <w:rFonts w:cs="Arial"/>
      <w:szCs w:val="24"/>
    </w:rPr>
  </w:style>
  <w:style w:type="paragraph" w:styleId="2">
    <w:name w:val="heading 2"/>
    <w:basedOn w:val="a"/>
    <w:next w:val="a"/>
    <w:link w:val="20"/>
    <w:unhideWhenUsed/>
    <w:qFormat/>
    <w:locked/>
    <w:rsid w:val="00A66F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FA28DB"/>
    <w:pPr>
      <w:keepNext/>
      <w:spacing w:line="360" w:lineRule="auto"/>
      <w:outlineLvl w:val="2"/>
    </w:pPr>
    <w:rPr>
      <w:rFonts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E41AE"/>
    <w:rPr>
      <w:rFonts w:asciiTheme="majorHAnsi" w:eastAsiaTheme="majorEastAsia" w:hAnsiTheme="majorHAnsi" w:cstheme="majorBidi"/>
      <w:b/>
      <w:bCs/>
      <w:kern w:val="32"/>
      <w:sz w:val="32"/>
      <w:szCs w:val="32"/>
    </w:rPr>
  </w:style>
  <w:style w:type="character" w:customStyle="1" w:styleId="30">
    <w:name w:val="כותרת 3 תו"/>
    <w:basedOn w:val="a0"/>
    <w:link w:val="3"/>
    <w:uiPriority w:val="9"/>
    <w:semiHidden/>
    <w:rsid w:val="006E41AE"/>
    <w:rPr>
      <w:rFonts w:asciiTheme="majorHAnsi" w:eastAsiaTheme="majorEastAsia" w:hAnsiTheme="majorHAnsi" w:cstheme="majorBidi"/>
      <w:b/>
      <w:bCs/>
      <w:sz w:val="26"/>
      <w:szCs w:val="26"/>
    </w:rPr>
  </w:style>
  <w:style w:type="paragraph" w:styleId="a3">
    <w:name w:val="header"/>
    <w:basedOn w:val="a"/>
    <w:link w:val="a4"/>
    <w:uiPriority w:val="99"/>
    <w:rsid w:val="00FA28DB"/>
    <w:pPr>
      <w:tabs>
        <w:tab w:val="center" w:pos="4153"/>
        <w:tab w:val="right" w:pos="8306"/>
      </w:tabs>
    </w:pPr>
  </w:style>
  <w:style w:type="character" w:customStyle="1" w:styleId="a4">
    <w:name w:val="כותרת עליונה תו"/>
    <w:basedOn w:val="a0"/>
    <w:link w:val="a3"/>
    <w:uiPriority w:val="99"/>
    <w:semiHidden/>
    <w:rsid w:val="006E41AE"/>
    <w:rPr>
      <w:sz w:val="20"/>
      <w:szCs w:val="20"/>
    </w:rPr>
  </w:style>
  <w:style w:type="paragraph" w:styleId="a5">
    <w:name w:val="footer"/>
    <w:basedOn w:val="a"/>
    <w:link w:val="a6"/>
    <w:uiPriority w:val="99"/>
    <w:rsid w:val="00FA28DB"/>
    <w:pPr>
      <w:tabs>
        <w:tab w:val="center" w:pos="4153"/>
        <w:tab w:val="right" w:pos="8306"/>
      </w:tabs>
    </w:pPr>
  </w:style>
  <w:style w:type="character" w:customStyle="1" w:styleId="a6">
    <w:name w:val="כותרת תחתונה תו"/>
    <w:basedOn w:val="a0"/>
    <w:link w:val="a5"/>
    <w:uiPriority w:val="99"/>
    <w:semiHidden/>
    <w:rsid w:val="006E41AE"/>
    <w:rPr>
      <w:sz w:val="20"/>
      <w:szCs w:val="20"/>
    </w:rPr>
  </w:style>
  <w:style w:type="character" w:styleId="a7">
    <w:name w:val="page number"/>
    <w:basedOn w:val="a0"/>
    <w:uiPriority w:val="99"/>
    <w:rsid w:val="00FA28DB"/>
    <w:rPr>
      <w:rFonts w:cs="Times New Roman"/>
    </w:rPr>
  </w:style>
  <w:style w:type="character" w:styleId="Hyperlink">
    <w:name w:val="Hyperlink"/>
    <w:basedOn w:val="a0"/>
    <w:uiPriority w:val="99"/>
    <w:rsid w:val="00FA28DB"/>
    <w:rPr>
      <w:rFonts w:cs="Times New Roman"/>
      <w:color w:val="0000FF"/>
      <w:u w:val="single"/>
    </w:rPr>
  </w:style>
  <w:style w:type="character" w:styleId="FollowedHyperlink">
    <w:name w:val="FollowedHyperlink"/>
    <w:basedOn w:val="a0"/>
    <w:uiPriority w:val="99"/>
    <w:rsid w:val="00FA28DB"/>
    <w:rPr>
      <w:rFonts w:cs="Times New Roman"/>
      <w:color w:val="800080"/>
      <w:u w:val="single"/>
    </w:rPr>
  </w:style>
  <w:style w:type="paragraph" w:customStyle="1" w:styleId="NormalWeb1">
    <w:name w:val="Normal (Web)‎1"/>
    <w:basedOn w:val="a"/>
    <w:uiPriority w:val="99"/>
    <w:rsid w:val="00FC7DAF"/>
    <w:pPr>
      <w:bidi w:val="0"/>
      <w:spacing w:before="100" w:beforeAutospacing="1" w:after="100" w:afterAutospacing="1"/>
    </w:pPr>
    <w:rPr>
      <w:rFonts w:cs="Times New Roman"/>
      <w:sz w:val="24"/>
      <w:szCs w:val="24"/>
    </w:rPr>
  </w:style>
  <w:style w:type="character" w:styleId="a8">
    <w:name w:val="Strong"/>
    <w:basedOn w:val="a0"/>
    <w:uiPriority w:val="99"/>
    <w:qFormat/>
    <w:rsid w:val="003A2265"/>
    <w:rPr>
      <w:rFonts w:cs="Times New Roman"/>
      <w:b/>
    </w:rPr>
  </w:style>
  <w:style w:type="character" w:styleId="a9">
    <w:name w:val="Emphasis"/>
    <w:basedOn w:val="a0"/>
    <w:uiPriority w:val="99"/>
    <w:qFormat/>
    <w:rsid w:val="00C77CA0"/>
    <w:rPr>
      <w:rFonts w:cs="Times New Roman"/>
      <w:b/>
    </w:rPr>
  </w:style>
  <w:style w:type="character" w:customStyle="1" w:styleId="aa">
    <w:name w:val="התחלה"/>
    <w:uiPriority w:val="99"/>
    <w:rsid w:val="00C77CA0"/>
    <w:rPr>
      <w:sz w:val="24"/>
    </w:rPr>
  </w:style>
  <w:style w:type="paragraph" w:styleId="ab">
    <w:name w:val="footnote text"/>
    <w:basedOn w:val="a"/>
    <w:link w:val="ac"/>
    <w:uiPriority w:val="99"/>
    <w:semiHidden/>
    <w:rsid w:val="00C77CA0"/>
    <w:pPr>
      <w:jc w:val="both"/>
    </w:pPr>
    <w:rPr>
      <w:rFonts w:cs="Times New Roman"/>
      <w:lang w:eastAsia="he-IL"/>
    </w:rPr>
  </w:style>
  <w:style w:type="character" w:customStyle="1" w:styleId="ac">
    <w:name w:val="טקסט הערת שוליים תו"/>
    <w:basedOn w:val="a0"/>
    <w:link w:val="ab"/>
    <w:uiPriority w:val="99"/>
    <w:semiHidden/>
    <w:locked/>
    <w:rsid w:val="00BC6E48"/>
    <w:rPr>
      <w:lang w:eastAsia="he-IL" w:bidi="he-IL"/>
    </w:rPr>
  </w:style>
  <w:style w:type="character" w:styleId="ad">
    <w:name w:val="footnote reference"/>
    <w:basedOn w:val="a0"/>
    <w:uiPriority w:val="99"/>
    <w:semiHidden/>
    <w:rsid w:val="00C77CA0"/>
    <w:rPr>
      <w:rFonts w:cs="Times New Roman"/>
      <w:vertAlign w:val="superscript"/>
    </w:rPr>
  </w:style>
  <w:style w:type="paragraph" w:customStyle="1" w:styleId="HeadHatzaotHok">
    <w:name w:val="Head HatzaotHok"/>
    <w:basedOn w:val="a"/>
    <w:uiPriority w:val="99"/>
    <w:rsid w:val="001B7AA5"/>
    <w:pPr>
      <w:keepNext/>
      <w:keepLines/>
      <w:widowControl w:val="0"/>
      <w:autoSpaceDE w:val="0"/>
      <w:autoSpaceDN w:val="0"/>
      <w:adjustRightInd w:val="0"/>
      <w:snapToGrid w:val="0"/>
      <w:spacing w:before="240" w:line="360" w:lineRule="auto"/>
      <w:jc w:val="center"/>
      <w:textAlignment w:val="center"/>
    </w:pPr>
    <w:rPr>
      <w:rFonts w:ascii="Arial" w:hAnsi="Arial" w:cs="David"/>
      <w:b/>
      <w:bCs/>
      <w:color w:val="000000"/>
      <w:szCs w:val="26"/>
      <w:lang w:eastAsia="ja-JP"/>
    </w:rPr>
  </w:style>
  <w:style w:type="paragraph" w:customStyle="1" w:styleId="TableText">
    <w:name w:val="Table Text"/>
    <w:basedOn w:val="a"/>
    <w:uiPriority w:val="99"/>
    <w:rsid w:val="001B7AA5"/>
    <w:pPr>
      <w:keepLines/>
      <w:widowControl w:val="0"/>
      <w:tabs>
        <w:tab w:val="left" w:pos="624"/>
        <w:tab w:val="left" w:pos="1247"/>
      </w:tabs>
      <w:autoSpaceDE w:val="0"/>
      <w:autoSpaceDN w:val="0"/>
      <w:adjustRightInd w:val="0"/>
      <w:snapToGrid w:val="0"/>
      <w:spacing w:line="360" w:lineRule="auto"/>
      <w:ind w:right="57"/>
      <w:textAlignment w:val="center"/>
    </w:pPr>
    <w:rPr>
      <w:rFonts w:ascii="Arial" w:hAnsi="Arial" w:cs="David"/>
      <w:color w:val="000000"/>
      <w:szCs w:val="26"/>
      <w:lang w:eastAsia="ja-JP"/>
    </w:rPr>
  </w:style>
  <w:style w:type="paragraph" w:customStyle="1" w:styleId="TableSideHeading">
    <w:name w:val="Table SideHeading"/>
    <w:basedOn w:val="TableText"/>
    <w:uiPriority w:val="99"/>
    <w:rsid w:val="001B7AA5"/>
  </w:style>
  <w:style w:type="paragraph" w:customStyle="1" w:styleId="TableBlock">
    <w:name w:val="Table Block"/>
    <w:basedOn w:val="TableText"/>
    <w:uiPriority w:val="99"/>
    <w:rsid w:val="001B7AA5"/>
    <w:pPr>
      <w:ind w:right="0"/>
      <w:jc w:val="both"/>
    </w:pPr>
  </w:style>
  <w:style w:type="paragraph" w:customStyle="1" w:styleId="TableHead">
    <w:name w:val="Table Head"/>
    <w:basedOn w:val="TableText"/>
    <w:uiPriority w:val="99"/>
    <w:rsid w:val="001B7AA5"/>
    <w:pPr>
      <w:ind w:right="0"/>
      <w:jc w:val="center"/>
    </w:pPr>
    <w:rPr>
      <w:b/>
      <w:bCs/>
    </w:rPr>
  </w:style>
  <w:style w:type="paragraph" w:customStyle="1" w:styleId="Hesber">
    <w:name w:val="Hesber"/>
    <w:basedOn w:val="a"/>
    <w:uiPriority w:val="99"/>
    <w:rsid w:val="001B7AA5"/>
    <w:pPr>
      <w:widowControl w:val="0"/>
      <w:autoSpaceDE w:val="0"/>
      <w:autoSpaceDN w:val="0"/>
      <w:adjustRightInd w:val="0"/>
      <w:snapToGrid w:val="0"/>
      <w:spacing w:line="360" w:lineRule="auto"/>
      <w:ind w:firstLine="340"/>
      <w:jc w:val="both"/>
      <w:textAlignment w:val="center"/>
    </w:pPr>
    <w:rPr>
      <w:rFonts w:ascii="Arial" w:hAnsi="Arial" w:cs="David"/>
      <w:color w:val="000000"/>
      <w:szCs w:val="26"/>
      <w:lang w:eastAsia="ja-JP"/>
    </w:rPr>
  </w:style>
  <w:style w:type="paragraph" w:customStyle="1" w:styleId="HeadDivreiHesber">
    <w:name w:val="Head DivreiHesber"/>
    <w:basedOn w:val="a"/>
    <w:uiPriority w:val="99"/>
    <w:rsid w:val="001B7AA5"/>
    <w:pPr>
      <w:widowControl w:val="0"/>
      <w:autoSpaceDE w:val="0"/>
      <w:autoSpaceDN w:val="0"/>
      <w:adjustRightInd w:val="0"/>
      <w:snapToGrid w:val="0"/>
      <w:spacing w:before="360" w:after="120" w:line="360" w:lineRule="auto"/>
      <w:jc w:val="center"/>
      <w:textAlignment w:val="center"/>
    </w:pPr>
    <w:rPr>
      <w:rFonts w:ascii="Arial" w:hAnsi="Arial" w:cs="David"/>
      <w:b/>
      <w:color w:val="000000"/>
      <w:spacing w:val="40"/>
      <w:szCs w:val="26"/>
      <w:lang w:eastAsia="ja-JP"/>
    </w:rPr>
  </w:style>
  <w:style w:type="paragraph" w:customStyle="1" w:styleId="David">
    <w:name w:val="רגיל + (עברית ושפות אחרות) David"/>
    <w:aliases w:val="‏13 נק',מודגש,אחרי:  6 נק'"/>
    <w:basedOn w:val="a"/>
    <w:uiPriority w:val="99"/>
    <w:rsid w:val="001B7AA5"/>
    <w:pPr>
      <w:widowControl w:val="0"/>
      <w:autoSpaceDE w:val="0"/>
      <w:autoSpaceDN w:val="0"/>
      <w:adjustRightInd w:val="0"/>
      <w:spacing w:before="102" w:line="204" w:lineRule="atLeast"/>
      <w:textAlignment w:val="center"/>
    </w:pPr>
    <w:rPr>
      <w:rFonts w:ascii="Hadasa Roso SL" w:eastAsia="MS Mincho" w:hAnsi="Hadasa Roso SL" w:cs="David"/>
      <w:color w:val="000000"/>
      <w:spacing w:val="1"/>
      <w:sz w:val="26"/>
      <w:szCs w:val="26"/>
      <w:lang w:eastAsia="ja-JP"/>
    </w:rPr>
  </w:style>
  <w:style w:type="paragraph" w:styleId="ae">
    <w:name w:val="endnote text"/>
    <w:basedOn w:val="a"/>
    <w:link w:val="af"/>
    <w:autoRedefine/>
    <w:uiPriority w:val="99"/>
    <w:rsid w:val="00444ED5"/>
    <w:rPr>
      <w:rFonts w:cs="David"/>
    </w:rPr>
  </w:style>
  <w:style w:type="character" w:customStyle="1" w:styleId="af">
    <w:name w:val="טקסט הערת סיום תו"/>
    <w:basedOn w:val="a0"/>
    <w:link w:val="ae"/>
    <w:uiPriority w:val="99"/>
    <w:locked/>
    <w:rsid w:val="00444ED5"/>
    <w:rPr>
      <w:rFonts w:cs="David"/>
      <w:sz w:val="20"/>
      <w:szCs w:val="20"/>
    </w:rPr>
  </w:style>
  <w:style w:type="character" w:styleId="af0">
    <w:name w:val="endnote reference"/>
    <w:basedOn w:val="a0"/>
    <w:uiPriority w:val="99"/>
    <w:rsid w:val="00175902"/>
    <w:rPr>
      <w:rFonts w:cs="Times New Roman"/>
      <w:vertAlign w:val="superscript"/>
    </w:rPr>
  </w:style>
  <w:style w:type="paragraph" w:styleId="af1">
    <w:name w:val="Balloon Text"/>
    <w:basedOn w:val="a"/>
    <w:link w:val="af2"/>
    <w:uiPriority w:val="99"/>
    <w:semiHidden/>
    <w:rsid w:val="001B3667"/>
    <w:rPr>
      <w:rFonts w:ascii="Tahoma" w:hAnsi="Tahoma" w:cs="Tahoma"/>
      <w:sz w:val="16"/>
      <w:szCs w:val="16"/>
    </w:rPr>
  </w:style>
  <w:style w:type="character" w:customStyle="1" w:styleId="af2">
    <w:name w:val="טקסט בלונים תו"/>
    <w:basedOn w:val="a0"/>
    <w:link w:val="af1"/>
    <w:uiPriority w:val="99"/>
    <w:semiHidden/>
    <w:rsid w:val="006E41AE"/>
    <w:rPr>
      <w:rFonts w:cs="Times New Roman"/>
      <w:sz w:val="0"/>
      <w:szCs w:val="0"/>
    </w:rPr>
  </w:style>
  <w:style w:type="character" w:styleId="af3">
    <w:name w:val="annotation reference"/>
    <w:basedOn w:val="a0"/>
    <w:uiPriority w:val="99"/>
    <w:rsid w:val="001D600E"/>
    <w:rPr>
      <w:rFonts w:cs="Times New Roman"/>
      <w:sz w:val="16"/>
    </w:rPr>
  </w:style>
  <w:style w:type="paragraph" w:styleId="af4">
    <w:name w:val="annotation text"/>
    <w:basedOn w:val="a"/>
    <w:link w:val="af5"/>
    <w:uiPriority w:val="99"/>
    <w:rsid w:val="001D600E"/>
    <w:pPr>
      <w:widowControl w:val="0"/>
      <w:autoSpaceDE w:val="0"/>
      <w:autoSpaceDN w:val="0"/>
      <w:adjustRightInd w:val="0"/>
      <w:spacing w:before="102" w:line="204" w:lineRule="atLeast"/>
      <w:ind w:firstLine="340"/>
      <w:jc w:val="both"/>
      <w:textAlignment w:val="center"/>
    </w:pPr>
    <w:rPr>
      <w:rFonts w:ascii="Hadasa Roso SL" w:eastAsia="MS Mincho" w:hAnsi="Hadasa Roso SL" w:cs="Times New Roman"/>
      <w:color w:val="000000"/>
      <w:spacing w:val="1"/>
      <w:lang w:eastAsia="ja-JP"/>
    </w:rPr>
  </w:style>
  <w:style w:type="character" w:customStyle="1" w:styleId="af5">
    <w:name w:val="טקסט הערה תו"/>
    <w:basedOn w:val="a0"/>
    <w:link w:val="af4"/>
    <w:uiPriority w:val="99"/>
    <w:locked/>
    <w:rsid w:val="001D600E"/>
    <w:rPr>
      <w:rFonts w:ascii="Hadasa Roso SL" w:eastAsia="MS Mincho" w:hAnsi="Hadasa Roso SL"/>
      <w:color w:val="000000"/>
      <w:spacing w:val="1"/>
      <w:lang w:eastAsia="ja-JP"/>
    </w:rPr>
  </w:style>
  <w:style w:type="character" w:customStyle="1" w:styleId="apple-style-span">
    <w:name w:val="apple-style-span"/>
    <w:basedOn w:val="a0"/>
    <w:uiPriority w:val="99"/>
    <w:rsid w:val="00114F54"/>
    <w:rPr>
      <w:rFonts w:cs="Times New Roman"/>
    </w:rPr>
  </w:style>
  <w:style w:type="character" w:customStyle="1" w:styleId="apple-converted-space">
    <w:name w:val="apple-converted-space"/>
    <w:basedOn w:val="a0"/>
    <w:uiPriority w:val="99"/>
    <w:rsid w:val="00463CAD"/>
    <w:rPr>
      <w:rFonts w:cs="Times New Roman"/>
    </w:rPr>
  </w:style>
  <w:style w:type="paragraph" w:styleId="af6">
    <w:name w:val="List Paragraph"/>
    <w:basedOn w:val="a"/>
    <w:uiPriority w:val="99"/>
    <w:qFormat/>
    <w:rsid w:val="002E5D8D"/>
    <w:pPr>
      <w:ind w:left="720"/>
    </w:pPr>
  </w:style>
  <w:style w:type="paragraph" w:customStyle="1" w:styleId="TableText2">
    <w:name w:val="Table Text2"/>
    <w:basedOn w:val="TableText"/>
    <w:uiPriority w:val="99"/>
    <w:rsid w:val="00673688"/>
  </w:style>
  <w:style w:type="paragraph" w:styleId="af7">
    <w:name w:val="Revision"/>
    <w:hidden/>
    <w:uiPriority w:val="99"/>
    <w:semiHidden/>
    <w:rsid w:val="00EC5994"/>
    <w:rPr>
      <w:sz w:val="20"/>
      <w:szCs w:val="20"/>
    </w:rPr>
  </w:style>
  <w:style w:type="character" w:customStyle="1" w:styleId="20">
    <w:name w:val="כותרת 2 תו"/>
    <w:basedOn w:val="a0"/>
    <w:link w:val="2"/>
    <w:rsid w:val="00A66FF3"/>
    <w:rPr>
      <w:rFonts w:asciiTheme="majorHAnsi" w:eastAsiaTheme="majorEastAsia" w:hAnsiTheme="majorHAnsi" w:cstheme="majorBidi"/>
      <w:color w:val="365F91" w:themeColor="accent1" w:themeShade="BF"/>
      <w:sz w:val="26"/>
      <w:szCs w:val="26"/>
    </w:rPr>
  </w:style>
  <w:style w:type="paragraph" w:styleId="af8">
    <w:name w:val="annotation subject"/>
    <w:basedOn w:val="af4"/>
    <w:next w:val="af4"/>
    <w:link w:val="af9"/>
    <w:uiPriority w:val="99"/>
    <w:semiHidden/>
    <w:unhideWhenUsed/>
    <w:rsid w:val="00E7124B"/>
    <w:pPr>
      <w:widowControl/>
      <w:autoSpaceDE/>
      <w:autoSpaceDN/>
      <w:adjustRightInd/>
      <w:spacing w:before="0" w:line="240" w:lineRule="auto"/>
      <w:ind w:firstLine="0"/>
      <w:jc w:val="left"/>
      <w:textAlignment w:val="auto"/>
    </w:pPr>
    <w:rPr>
      <w:rFonts w:ascii="Times New Roman" w:eastAsia="Times New Roman" w:hAnsi="Times New Roman" w:cs="Miriam"/>
      <w:b/>
      <w:bCs/>
      <w:color w:val="auto"/>
      <w:spacing w:val="0"/>
      <w:lang w:eastAsia="en-US"/>
    </w:rPr>
  </w:style>
  <w:style w:type="character" w:customStyle="1" w:styleId="af9">
    <w:name w:val="נושא הערה תו"/>
    <w:basedOn w:val="af5"/>
    <w:link w:val="af8"/>
    <w:uiPriority w:val="99"/>
    <w:semiHidden/>
    <w:rsid w:val="00E7124B"/>
    <w:rPr>
      <w:rFonts w:ascii="Hadasa Roso SL" w:eastAsia="MS Mincho" w:hAnsi="Hadasa Roso SL"/>
      <w:b/>
      <w:bCs/>
      <w:color w:val="000000"/>
      <w:spacing w:val="1"/>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17799">
      <w:bodyDiv w:val="1"/>
      <w:marLeft w:val="0"/>
      <w:marRight w:val="0"/>
      <w:marTop w:val="0"/>
      <w:marBottom w:val="0"/>
      <w:divBdr>
        <w:top w:val="none" w:sz="0" w:space="0" w:color="auto"/>
        <w:left w:val="none" w:sz="0" w:space="0" w:color="auto"/>
        <w:bottom w:val="none" w:sz="0" w:space="0" w:color="auto"/>
        <w:right w:val="none" w:sz="0" w:space="0" w:color="auto"/>
      </w:divBdr>
    </w:div>
    <w:div w:id="1867283395">
      <w:marLeft w:val="0"/>
      <w:marRight w:val="0"/>
      <w:marTop w:val="0"/>
      <w:marBottom w:val="0"/>
      <w:divBdr>
        <w:top w:val="none" w:sz="0" w:space="0" w:color="auto"/>
        <w:left w:val="none" w:sz="0" w:space="0" w:color="auto"/>
        <w:bottom w:val="none" w:sz="0" w:space="0" w:color="auto"/>
        <w:right w:val="none" w:sz="0" w:space="0" w:color="auto"/>
      </w:divBdr>
      <w:divsChild>
        <w:div w:id="1867283400">
          <w:marLeft w:val="0"/>
          <w:marRight w:val="0"/>
          <w:marTop w:val="0"/>
          <w:marBottom w:val="0"/>
          <w:divBdr>
            <w:top w:val="none" w:sz="0" w:space="0" w:color="auto"/>
            <w:left w:val="none" w:sz="0" w:space="0" w:color="auto"/>
            <w:bottom w:val="none" w:sz="0" w:space="0" w:color="auto"/>
            <w:right w:val="none" w:sz="0" w:space="0" w:color="auto"/>
          </w:divBdr>
        </w:div>
      </w:divsChild>
    </w:div>
    <w:div w:id="1867283398">
      <w:marLeft w:val="0"/>
      <w:marRight w:val="0"/>
      <w:marTop w:val="0"/>
      <w:marBottom w:val="0"/>
      <w:divBdr>
        <w:top w:val="none" w:sz="0" w:space="0" w:color="auto"/>
        <w:left w:val="none" w:sz="0" w:space="0" w:color="auto"/>
        <w:bottom w:val="none" w:sz="0" w:space="0" w:color="auto"/>
        <w:right w:val="none" w:sz="0" w:space="0" w:color="auto"/>
      </w:divBdr>
    </w:div>
    <w:div w:id="1867283399">
      <w:marLeft w:val="0"/>
      <w:marRight w:val="0"/>
      <w:marTop w:val="0"/>
      <w:marBottom w:val="0"/>
      <w:divBdr>
        <w:top w:val="none" w:sz="0" w:space="0" w:color="auto"/>
        <w:left w:val="none" w:sz="0" w:space="0" w:color="auto"/>
        <w:bottom w:val="none" w:sz="0" w:space="0" w:color="auto"/>
        <w:right w:val="none" w:sz="0" w:space="0" w:color="auto"/>
      </w:divBdr>
    </w:div>
    <w:div w:id="1867283402">
      <w:marLeft w:val="0"/>
      <w:marRight w:val="0"/>
      <w:marTop w:val="0"/>
      <w:marBottom w:val="0"/>
      <w:divBdr>
        <w:top w:val="none" w:sz="0" w:space="0" w:color="auto"/>
        <w:left w:val="none" w:sz="0" w:space="0" w:color="auto"/>
        <w:bottom w:val="none" w:sz="0" w:space="0" w:color="auto"/>
        <w:right w:val="none" w:sz="0" w:space="0" w:color="auto"/>
      </w:divBdr>
      <w:divsChild>
        <w:div w:id="1867283396">
          <w:marLeft w:val="0"/>
          <w:marRight w:val="0"/>
          <w:marTop w:val="0"/>
          <w:marBottom w:val="0"/>
          <w:divBdr>
            <w:top w:val="none" w:sz="0" w:space="0" w:color="auto"/>
            <w:left w:val="none" w:sz="0" w:space="0" w:color="auto"/>
            <w:bottom w:val="none" w:sz="0" w:space="0" w:color="auto"/>
            <w:right w:val="none" w:sz="0" w:space="0" w:color="auto"/>
          </w:divBdr>
        </w:div>
        <w:div w:id="1867283397">
          <w:marLeft w:val="0"/>
          <w:marRight w:val="0"/>
          <w:marTop w:val="0"/>
          <w:marBottom w:val="0"/>
          <w:divBdr>
            <w:top w:val="none" w:sz="0" w:space="0" w:color="auto"/>
            <w:left w:val="none" w:sz="0" w:space="0" w:color="auto"/>
            <w:bottom w:val="none" w:sz="0" w:space="0" w:color="auto"/>
            <w:right w:val="none" w:sz="0" w:space="0" w:color="auto"/>
          </w:divBdr>
        </w:div>
      </w:divsChild>
    </w:div>
    <w:div w:id="1867283403">
      <w:marLeft w:val="0"/>
      <w:marRight w:val="0"/>
      <w:marTop w:val="0"/>
      <w:marBottom w:val="0"/>
      <w:divBdr>
        <w:top w:val="none" w:sz="0" w:space="0" w:color="auto"/>
        <w:left w:val="none" w:sz="0" w:space="0" w:color="auto"/>
        <w:bottom w:val="none" w:sz="0" w:space="0" w:color="auto"/>
        <w:right w:val="none" w:sz="0" w:space="0" w:color="auto"/>
      </w:divBdr>
      <w:divsChild>
        <w:div w:id="1867283401">
          <w:marLeft w:val="0"/>
          <w:marRight w:val="0"/>
          <w:marTop w:val="0"/>
          <w:marBottom w:val="0"/>
          <w:divBdr>
            <w:top w:val="none" w:sz="0" w:space="0" w:color="auto"/>
            <w:left w:val="none" w:sz="0" w:space="0" w:color="auto"/>
            <w:bottom w:val="none" w:sz="0" w:space="0" w:color="auto"/>
            <w:right w:val="none" w:sz="0" w:space="0" w:color="auto"/>
          </w:divBdr>
        </w:div>
        <w:div w:id="1867283406">
          <w:marLeft w:val="0"/>
          <w:marRight w:val="0"/>
          <w:marTop w:val="0"/>
          <w:marBottom w:val="0"/>
          <w:divBdr>
            <w:top w:val="none" w:sz="0" w:space="0" w:color="auto"/>
            <w:left w:val="none" w:sz="0" w:space="0" w:color="auto"/>
            <w:bottom w:val="none" w:sz="0" w:space="0" w:color="auto"/>
            <w:right w:val="none" w:sz="0" w:space="0" w:color="auto"/>
          </w:divBdr>
        </w:div>
      </w:divsChild>
    </w:div>
    <w:div w:id="1867283404">
      <w:marLeft w:val="0"/>
      <w:marRight w:val="0"/>
      <w:marTop w:val="0"/>
      <w:marBottom w:val="0"/>
      <w:divBdr>
        <w:top w:val="none" w:sz="0" w:space="0" w:color="auto"/>
        <w:left w:val="none" w:sz="0" w:space="0" w:color="auto"/>
        <w:bottom w:val="none" w:sz="0" w:space="0" w:color="auto"/>
        <w:right w:val="none" w:sz="0" w:space="0" w:color="auto"/>
      </w:divBdr>
      <w:divsChild>
        <w:div w:id="1867283405">
          <w:marLeft w:val="0"/>
          <w:marRight w:val="0"/>
          <w:marTop w:val="0"/>
          <w:marBottom w:val="0"/>
          <w:divBdr>
            <w:top w:val="none" w:sz="0" w:space="0" w:color="auto"/>
            <w:left w:val="none" w:sz="0" w:space="0" w:color="auto"/>
            <w:bottom w:val="none" w:sz="0" w:space="0" w:color="auto"/>
            <w:right w:val="none" w:sz="0" w:space="0" w:color="auto"/>
          </w:divBdr>
        </w:div>
        <w:div w:id="1867283408">
          <w:marLeft w:val="0"/>
          <w:marRight w:val="0"/>
          <w:marTop w:val="0"/>
          <w:marBottom w:val="0"/>
          <w:divBdr>
            <w:top w:val="none" w:sz="0" w:space="0" w:color="auto"/>
            <w:left w:val="none" w:sz="0" w:space="0" w:color="auto"/>
            <w:bottom w:val="none" w:sz="0" w:space="0" w:color="auto"/>
            <w:right w:val="none" w:sz="0" w:space="0" w:color="auto"/>
          </w:divBdr>
        </w:div>
      </w:divsChild>
    </w:div>
    <w:div w:id="18672834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tzohar.org.i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97C80-017F-4A1A-B218-63EFF8C3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530</Words>
  <Characters>2653</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מבט יהודי להצעת החוק "אימוץ ילד מחו"ל"</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מבט יהודי להצעת החוק "אימוץ ילד מחו"ל"</dc:title>
  <dc:subject/>
  <dc:creator>Baruch Weintraub</dc:creator>
  <cp:keywords/>
  <dc:description/>
  <cp:lastModifiedBy>Baruch Weintraub</cp:lastModifiedBy>
  <cp:revision>3</cp:revision>
  <cp:lastPrinted>2016-02-21T08:13:00Z</cp:lastPrinted>
  <dcterms:created xsi:type="dcterms:W3CDTF">2018-06-30T19:24:00Z</dcterms:created>
  <dcterms:modified xsi:type="dcterms:W3CDTF">2018-10-25T22:47:00Z</dcterms:modified>
</cp:coreProperties>
</file>