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82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</w:p>
    <w:p w:rsidR="00B67482" w:rsidRPr="0089540F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89540F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נייר עמדה</w:t>
      </w:r>
    </w:p>
    <w:p w:rsidR="00BD5A90" w:rsidRPr="0089540F" w:rsidRDefault="00BA0679" w:rsidP="0000267A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 w:rsidRPr="0089540F"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  <w:t xml:space="preserve">הצעת חוק המקרקעין </w:t>
      </w:r>
    </w:p>
    <w:p w:rsidR="00B67482" w:rsidRPr="0089540F" w:rsidRDefault="00BA0679" w:rsidP="00BD5A90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 w:rsidRPr="0089540F"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  <w:t xml:space="preserve">(תיקון – עישון בבית משותף הפוגע בשכנים), </w:t>
      </w:r>
      <w:proofErr w:type="spellStart"/>
      <w:r w:rsidRPr="0089540F"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  <w:t>התשע"ט</w:t>
      </w:r>
      <w:proofErr w:type="spellEnd"/>
      <w:r w:rsidRPr="0089540F"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  <w:t>–2018</w:t>
      </w:r>
    </w:p>
    <w:p w:rsidR="00B67482" w:rsidRPr="00B35509" w:rsidRDefault="00B67482" w:rsidP="00BD5A90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916BC3" w:rsidRDefault="00BD5A90" w:rsidP="006336FF">
      <w:pPr>
        <w:spacing w:after="240"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בעקבות הצטברות מידע 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רפואי </w:t>
      </w:r>
      <w:r w:rsidR="00BA067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ברור לגבי נזקי העישון </w:t>
      </w:r>
      <w:r w:rsid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ובכללם נזקי החשיפה לעישון</w:t>
      </w:r>
      <w:r w:rsidR="00BA067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אחרים (</w:t>
      </w:r>
      <w:r w:rsidR="00D06EA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עישון פ</w:t>
      </w:r>
      <w:r w:rsidR="00BA067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סיבי) </w:t>
      </w:r>
      <w:r w:rsid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ה</w:t>
      </w:r>
      <w:r w:rsidR="00BA067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תקבלה בציבור 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ההסכמה כי ישנו </w:t>
      </w:r>
      <w:r w:rsidR="00BA067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צורך להגן </w:t>
      </w:r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על </w:t>
      </w:r>
      <w:proofErr w:type="spellStart"/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הלא</w:t>
      </w:r>
      <w:r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</w:t>
      </w:r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מעשנים</w:t>
      </w:r>
      <w:proofErr w:type="spellEnd"/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מפני נזקים אלו. </w:t>
      </w:r>
      <w:r w:rsidR="009A1367">
        <w:rPr>
          <w:rFonts w:cs="David"/>
          <w:snapToGrid w:val="0"/>
          <w:color w:val="000000"/>
          <w:sz w:val="24"/>
          <w:szCs w:val="24"/>
          <w:rtl/>
          <w:lang w:eastAsia="ja-JP"/>
        </w:rPr>
        <w:t>בפסיקות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מהשנים האחרונות,</w:t>
      </w:r>
      <w:r w:rsidR="00BA067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חוזרים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C560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ומדגישים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שופטים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בישראל </w:t>
      </w:r>
      <w:r w:rsidR="008C560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את </w:t>
      </w:r>
      <w:r w:rsidR="00BA067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>זכות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BA067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הבסיסית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כל אדם</w:t>
      </w:r>
      <w:r w:rsidR="00BA067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9540F">
        <w:rPr>
          <w:rFonts w:cs="David"/>
          <w:snapToGrid w:val="0"/>
          <w:color w:val="000000"/>
          <w:sz w:val="24"/>
          <w:szCs w:val="24"/>
          <w:rtl/>
          <w:lang w:eastAsia="ja-JP"/>
        </w:rPr>
        <w:t>לנשום אוויר הנקי מרעלי הסיגריות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;</w:t>
      </w:r>
      <w:r w:rsidR="00BA0679" w:rsidRPr="00BA067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מדינת </w:t>
      </w:r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ישראל אף </w:t>
      </w:r>
      <w:r w:rsidR="008C5609">
        <w:rPr>
          <w:rFonts w:cs="David"/>
          <w:snapToGrid w:val="0"/>
          <w:color w:val="000000"/>
          <w:sz w:val="24"/>
          <w:szCs w:val="24"/>
          <w:rtl/>
          <w:lang w:eastAsia="ja-JP"/>
        </w:rPr>
        <w:t>אשררה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8C560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בשנת 2005</w:t>
      </w:r>
      <w:r w:rsidR="009A136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8C560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את 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חתימתה על </w:t>
      </w:r>
      <w:r w:rsidR="008C5609">
        <w:rPr>
          <w:rFonts w:cs="David"/>
          <w:snapToGrid w:val="0"/>
          <w:color w:val="000000"/>
          <w:sz w:val="24"/>
          <w:szCs w:val="24"/>
          <w:rtl/>
          <w:lang w:eastAsia="ja-JP"/>
        </w:rPr>
        <w:t>האמנה הבי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</w:t>
      </w:r>
      <w:r w:rsidR="00916BC3"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>לאומית למניעת</w:t>
      </w:r>
      <w:r w:rsidR="0089540F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עישון 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 w:rsidR="00916BC3"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>בה הצהירה כי החשיפה לעישון במקומות ציבוריים גורמת לתחלואה, נכות ומוות</w:t>
      </w:r>
      <w:r w:rsidR="00916BC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</w:p>
    <w:p w:rsidR="00A81F9F" w:rsidRDefault="00916BC3" w:rsidP="0089540F">
      <w:pPr>
        <w:spacing w:after="240"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על אף הכרה זו, החוק כיום אינו נותן סעד 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</w:t>
      </w:r>
      <w:r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אדם </w:t>
      </w:r>
      <w:proofErr w:type="spellStart"/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 w:rsidR="00BD5A90">
        <w:rPr>
          <w:rFonts w:cs="David"/>
          <w:snapToGrid w:val="0"/>
          <w:color w:val="000000"/>
          <w:sz w:val="24"/>
          <w:szCs w:val="24"/>
          <w:rtl/>
          <w:lang w:eastAsia="ja-JP"/>
        </w:rPr>
        <w:t>שכ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נו</w:t>
      </w:r>
      <w:r w:rsidR="00BD5A90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־לבניין</w:t>
      </w:r>
      <w:proofErr w:type="spellEnd"/>
      <w:r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מעשן באופן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החושף אותו ל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ֶ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ָ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ָ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ן בדירתו 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שלו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9540F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עד ש</w:t>
      </w:r>
      <w:r w:rsidR="008C5609"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>נפגעת זכותו לשאוף אוויר נקי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8C5609"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>לעיתים אף נמנעת ממנו היכולת לעשות שימוש סביר במרפסת ביתו.</w:t>
      </w:r>
      <w:r w:rsidRPr="00916BC3">
        <w:rPr>
          <w:rtl/>
        </w:rPr>
        <w:t xml:space="preserve"> </w:t>
      </w:r>
      <w:r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מטרתה של הצעת חוק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שלפנינו</w:t>
      </w:r>
      <w:r w:rsidRPr="00916BC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היא ל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תקן את מצב העניינים האמור, ולתת כלים </w:t>
      </w:r>
      <w:r w:rsidR="008C560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משפטיים לאדם 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על מנת למנוע משכנו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המעשן 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לחשוף אותו לסכנות העישון הפ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סיבי.</w:t>
      </w:r>
    </w:p>
    <w:p w:rsidR="00A81F9F" w:rsidRPr="00BD5A90" w:rsidRDefault="00A81F9F" w:rsidP="009A1367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נייר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עמדה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זה יעסוק בשאלה העקרונית האם ניתן למנוע מאדם לעש</w:t>
      </w:r>
      <w:r w:rsidR="006336F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ֵ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ן ברשותו כאשר העשן חודר לרשות 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שכנו.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הנייר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לא ידון בפרטים המעשיים</w:t>
      </w:r>
      <w:r w:rsidR="0089540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ההצעה, כגון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: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רמת העשן הנחשבת למזיקה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9A136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אופן ביצוע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האכיפה</w:t>
      </w:r>
      <w:r w:rsidR="00BD5A90" w:rsidRP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BD5A90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בפועל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</w:p>
    <w:p w:rsidR="00B67482" w:rsidRPr="00B35509" w:rsidRDefault="00A81E14" w:rsidP="00BD5A90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B67482" w:rsidRPr="001F3FC6" w:rsidRDefault="001F3FC6" w:rsidP="009A1367">
      <w:pPr>
        <w:spacing w:after="2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א. </w:t>
      </w:r>
      <w:r w:rsidR="001363AF" w:rsidRPr="001F3FC6">
        <w:rPr>
          <w:rFonts w:cs="David" w:hint="cs"/>
          <w:b/>
          <w:bCs/>
          <w:sz w:val="24"/>
          <w:szCs w:val="24"/>
          <w:rtl/>
        </w:rPr>
        <w:t>הלכות שכנים</w:t>
      </w:r>
      <w:r w:rsidRPr="001F3FC6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9A1367">
        <w:rPr>
          <w:rFonts w:cs="David" w:hint="cs"/>
          <w:sz w:val="24"/>
          <w:szCs w:val="24"/>
          <w:rtl/>
        </w:rPr>
        <w:t xml:space="preserve">ההלכה הכירה בייחודיותם של דיני </w:t>
      </w:r>
      <w:r w:rsidR="00916BC3" w:rsidRPr="001F3FC6">
        <w:rPr>
          <w:rFonts w:cs="David" w:hint="cs"/>
          <w:sz w:val="24"/>
          <w:szCs w:val="24"/>
          <w:rtl/>
        </w:rPr>
        <w:t xml:space="preserve">שכנים בתוך מכלול דיני </w:t>
      </w:r>
      <w:proofErr w:type="spellStart"/>
      <w:r w:rsidR="00916BC3" w:rsidRPr="001F3FC6">
        <w:rPr>
          <w:rFonts w:cs="David" w:hint="cs"/>
          <w:sz w:val="24"/>
          <w:szCs w:val="24"/>
          <w:rtl/>
        </w:rPr>
        <w:t>הנזיקין</w:t>
      </w:r>
      <w:proofErr w:type="spellEnd"/>
      <w:r w:rsidR="00916BC3" w:rsidRPr="001F3FC6">
        <w:rPr>
          <w:rFonts w:cs="David" w:hint="cs"/>
          <w:sz w:val="24"/>
          <w:szCs w:val="24"/>
          <w:rtl/>
        </w:rPr>
        <w:t>. ייחודיו</w:t>
      </w:r>
      <w:r w:rsidR="00916BC3" w:rsidRPr="001F3FC6">
        <w:rPr>
          <w:rFonts w:cs="David" w:hint="eastAsia"/>
          <w:sz w:val="24"/>
          <w:szCs w:val="24"/>
          <w:rtl/>
        </w:rPr>
        <w:t>ת</w:t>
      </w:r>
      <w:r w:rsidR="00916BC3" w:rsidRPr="001F3FC6">
        <w:rPr>
          <w:rFonts w:cs="David" w:hint="cs"/>
          <w:sz w:val="24"/>
          <w:szCs w:val="24"/>
          <w:rtl/>
        </w:rPr>
        <w:t xml:space="preserve"> זו נובעת מ</w:t>
      </w:r>
      <w:r w:rsidR="006336FF" w:rsidRPr="001F3FC6">
        <w:rPr>
          <w:rFonts w:cs="David" w:hint="cs"/>
          <w:sz w:val="24"/>
          <w:szCs w:val="24"/>
          <w:rtl/>
        </w:rPr>
        <w:t>ן העובדה</w:t>
      </w:r>
      <w:r w:rsidR="00916BC3" w:rsidRPr="001F3FC6">
        <w:rPr>
          <w:rFonts w:cs="David" w:hint="cs"/>
          <w:sz w:val="24"/>
          <w:szCs w:val="24"/>
          <w:rtl/>
        </w:rPr>
        <w:t xml:space="preserve"> שבניגוד לדיני נזיקין הרגילים, </w:t>
      </w:r>
      <w:r w:rsidR="006336FF" w:rsidRPr="001F3FC6">
        <w:rPr>
          <w:rFonts w:cs="David" w:hint="cs"/>
          <w:sz w:val="24"/>
          <w:szCs w:val="24"/>
          <w:rtl/>
        </w:rPr>
        <w:t>ש</w:t>
      </w:r>
      <w:r w:rsidR="00916BC3" w:rsidRPr="001F3FC6">
        <w:rPr>
          <w:rFonts w:cs="David" w:hint="cs"/>
          <w:sz w:val="24"/>
          <w:szCs w:val="24"/>
          <w:rtl/>
        </w:rPr>
        <w:t xml:space="preserve">בהם מוטלת חובת </w:t>
      </w:r>
      <w:r w:rsidR="006336FF" w:rsidRPr="001F3FC6">
        <w:rPr>
          <w:rFonts w:cs="David" w:hint="cs"/>
          <w:sz w:val="24"/>
          <w:szCs w:val="24"/>
          <w:rtl/>
        </w:rPr>
        <w:t>שמירה</w:t>
      </w:r>
      <w:r w:rsidR="00916BC3" w:rsidRPr="001F3FC6">
        <w:rPr>
          <w:rFonts w:cs="David" w:hint="cs"/>
          <w:sz w:val="24"/>
          <w:szCs w:val="24"/>
          <w:rtl/>
        </w:rPr>
        <w:t xml:space="preserve"> </w:t>
      </w:r>
      <w:r w:rsidR="006336FF" w:rsidRPr="001F3FC6">
        <w:rPr>
          <w:rFonts w:cs="David" w:hint="cs"/>
          <w:sz w:val="24"/>
          <w:szCs w:val="24"/>
          <w:rtl/>
        </w:rPr>
        <w:t>(</w:t>
      </w:r>
      <w:r w:rsidR="00916BC3" w:rsidRPr="001F3FC6">
        <w:rPr>
          <w:rFonts w:cs="David" w:hint="cs"/>
          <w:sz w:val="24"/>
          <w:szCs w:val="24"/>
          <w:rtl/>
        </w:rPr>
        <w:t xml:space="preserve">ובהתאם לכך </w:t>
      </w:r>
      <w:r w:rsidR="001F436C" w:rsidRPr="001F3FC6">
        <w:rPr>
          <w:rFonts w:cs="David" w:hint="cs"/>
          <w:sz w:val="24"/>
          <w:szCs w:val="24"/>
          <w:rtl/>
        </w:rPr>
        <w:t xml:space="preserve">חובת </w:t>
      </w:r>
      <w:r w:rsidR="006336FF" w:rsidRPr="001F3FC6">
        <w:rPr>
          <w:rFonts w:cs="David" w:hint="cs"/>
          <w:sz w:val="24"/>
          <w:szCs w:val="24"/>
          <w:rtl/>
        </w:rPr>
        <w:t>תשלום)</w:t>
      </w:r>
      <w:r w:rsidR="001F436C" w:rsidRPr="001F3FC6">
        <w:rPr>
          <w:rFonts w:cs="David" w:hint="cs"/>
          <w:sz w:val="24"/>
          <w:szCs w:val="24"/>
          <w:rtl/>
        </w:rPr>
        <w:t xml:space="preserve"> על בעל חיים </w:t>
      </w:r>
      <w:r w:rsidR="006336FF" w:rsidRPr="001F3FC6">
        <w:rPr>
          <w:rFonts w:cs="David" w:hint="cs"/>
          <w:sz w:val="24"/>
          <w:szCs w:val="24"/>
          <w:rtl/>
        </w:rPr>
        <w:t>שעשוי לה</w:t>
      </w:r>
      <w:r w:rsidR="001F436C" w:rsidRPr="001F3FC6">
        <w:rPr>
          <w:rFonts w:cs="David" w:hint="cs"/>
          <w:sz w:val="24"/>
          <w:szCs w:val="24"/>
          <w:rtl/>
        </w:rPr>
        <w:t>זיק, על אש ש</w:t>
      </w:r>
      <w:r w:rsidR="006336FF" w:rsidRPr="001F3FC6">
        <w:rPr>
          <w:rFonts w:cs="David" w:hint="cs"/>
          <w:sz w:val="24"/>
          <w:szCs w:val="24"/>
          <w:rtl/>
        </w:rPr>
        <w:t>עלולה לה</w:t>
      </w:r>
      <w:r w:rsidR="001F436C" w:rsidRPr="001F3FC6">
        <w:rPr>
          <w:rFonts w:cs="David" w:hint="cs"/>
          <w:sz w:val="24"/>
          <w:szCs w:val="24"/>
          <w:rtl/>
        </w:rPr>
        <w:t xml:space="preserve">תפשט וכדומה, הרי שבדיני השכנים </w:t>
      </w:r>
      <w:r w:rsidR="006336FF" w:rsidRPr="001F3FC6">
        <w:rPr>
          <w:rFonts w:cs="David" w:hint="cs"/>
          <w:sz w:val="24"/>
          <w:szCs w:val="24"/>
          <w:rtl/>
        </w:rPr>
        <w:t xml:space="preserve">הטלת </w:t>
      </w:r>
      <w:r w:rsidR="001F436C" w:rsidRPr="001F3FC6">
        <w:rPr>
          <w:rFonts w:cs="David" w:hint="cs"/>
          <w:sz w:val="24"/>
          <w:szCs w:val="24"/>
          <w:rtl/>
        </w:rPr>
        <w:t xml:space="preserve">חובה זו </w:t>
      </w:r>
      <w:r w:rsidR="006336FF" w:rsidRPr="001F3FC6">
        <w:rPr>
          <w:rFonts w:cs="David" w:hint="cs"/>
          <w:sz w:val="24"/>
          <w:szCs w:val="24"/>
          <w:rtl/>
        </w:rPr>
        <w:t xml:space="preserve">יכולה </w:t>
      </w:r>
      <w:r w:rsidR="001F436C" w:rsidRPr="001F3FC6">
        <w:rPr>
          <w:rFonts w:cs="David" w:hint="cs"/>
          <w:sz w:val="24"/>
          <w:szCs w:val="24"/>
          <w:rtl/>
        </w:rPr>
        <w:t>להביא לכ</w:t>
      </w:r>
      <w:r w:rsidR="006336FF" w:rsidRPr="001F3FC6">
        <w:rPr>
          <w:rFonts w:cs="David" w:hint="cs"/>
          <w:sz w:val="24"/>
          <w:szCs w:val="24"/>
          <w:rtl/>
        </w:rPr>
        <w:t>ך</w:t>
      </w:r>
      <w:r w:rsidR="001F436C" w:rsidRPr="001F3FC6">
        <w:rPr>
          <w:rFonts w:cs="David" w:hint="cs"/>
          <w:sz w:val="24"/>
          <w:szCs w:val="24"/>
          <w:rtl/>
        </w:rPr>
        <w:t xml:space="preserve"> </w:t>
      </w:r>
      <w:r w:rsidR="006336FF" w:rsidRPr="001F3FC6">
        <w:rPr>
          <w:rFonts w:cs="David" w:hint="cs"/>
          <w:sz w:val="24"/>
          <w:szCs w:val="24"/>
          <w:rtl/>
        </w:rPr>
        <w:t>ש</w:t>
      </w:r>
      <w:r w:rsidR="001F436C" w:rsidRPr="001F3FC6">
        <w:rPr>
          <w:rFonts w:cs="David" w:hint="cs"/>
          <w:sz w:val="24"/>
          <w:szCs w:val="24"/>
          <w:rtl/>
        </w:rPr>
        <w:t xml:space="preserve">אדם </w:t>
      </w:r>
      <w:r w:rsidR="006336FF" w:rsidRPr="001F3FC6">
        <w:rPr>
          <w:rFonts w:cs="David" w:hint="cs"/>
          <w:sz w:val="24"/>
          <w:szCs w:val="24"/>
          <w:rtl/>
        </w:rPr>
        <w:t xml:space="preserve">לא יוכל לעשות </w:t>
      </w:r>
      <w:r w:rsidR="001F436C" w:rsidRPr="001F3FC6">
        <w:rPr>
          <w:rFonts w:cs="David" w:hint="cs"/>
          <w:sz w:val="24"/>
          <w:szCs w:val="24"/>
          <w:rtl/>
        </w:rPr>
        <w:t xml:space="preserve">שימוש בנכס שלו. </w:t>
      </w:r>
      <w:r w:rsidR="006336FF" w:rsidRPr="001F3FC6">
        <w:rPr>
          <w:rFonts w:cs="David" w:hint="cs"/>
          <w:sz w:val="24"/>
          <w:szCs w:val="24"/>
          <w:rtl/>
        </w:rPr>
        <w:t>ל</w:t>
      </w:r>
      <w:r w:rsidR="001F436C" w:rsidRPr="001F3FC6">
        <w:rPr>
          <w:rFonts w:cs="David" w:hint="cs"/>
          <w:sz w:val="24"/>
          <w:szCs w:val="24"/>
          <w:rtl/>
        </w:rPr>
        <w:t>כן</w:t>
      </w:r>
      <w:r w:rsidR="006336FF" w:rsidRPr="001F3FC6">
        <w:rPr>
          <w:rFonts w:cs="David" w:hint="cs"/>
          <w:sz w:val="24"/>
          <w:szCs w:val="24"/>
          <w:rtl/>
        </w:rPr>
        <w:t xml:space="preserve"> לדוגמה</w:t>
      </w:r>
      <w:r w:rsidR="008D27F5" w:rsidRPr="001F3FC6">
        <w:rPr>
          <w:rFonts w:cs="David" w:hint="cs"/>
          <w:sz w:val="24"/>
          <w:szCs w:val="24"/>
          <w:rtl/>
        </w:rPr>
        <w:t xml:space="preserve"> התירו חכמים לאדם לנטוע עץ בחצרו, אף שברבות ה</w:t>
      </w:r>
      <w:r w:rsidR="006336FF" w:rsidRPr="001F3FC6">
        <w:rPr>
          <w:rFonts w:cs="David" w:hint="cs"/>
          <w:sz w:val="24"/>
          <w:szCs w:val="24"/>
          <w:rtl/>
        </w:rPr>
        <w:t xml:space="preserve">ימים </w:t>
      </w:r>
      <w:r w:rsidR="008D27F5" w:rsidRPr="001F3FC6">
        <w:rPr>
          <w:rFonts w:cs="David" w:hint="cs"/>
          <w:sz w:val="24"/>
          <w:szCs w:val="24"/>
          <w:rtl/>
        </w:rPr>
        <w:t xml:space="preserve">עשויים שורשי העץ לעבור לחצר חברו ולהזיק לבור מים המצוי </w:t>
      </w:r>
      <w:r w:rsidR="009A1367">
        <w:rPr>
          <w:rFonts w:cs="David" w:hint="cs"/>
          <w:sz w:val="24"/>
          <w:szCs w:val="24"/>
          <w:rtl/>
        </w:rPr>
        <w:t>בה</w:t>
      </w:r>
      <w:r w:rsidR="006336FF" w:rsidRPr="001F3FC6">
        <w:rPr>
          <w:rFonts w:cs="David" w:hint="cs"/>
          <w:sz w:val="24"/>
          <w:szCs w:val="24"/>
          <w:rtl/>
        </w:rPr>
        <w:t>,</w:t>
      </w:r>
      <w:r w:rsidR="008D27F5" w:rsidRPr="001F3FC6">
        <w:rPr>
          <w:rFonts w:cs="David" w:hint="cs"/>
          <w:sz w:val="24"/>
          <w:szCs w:val="24"/>
          <w:rtl/>
        </w:rPr>
        <w:t xml:space="preserve"> </w:t>
      </w:r>
      <w:r w:rsidR="006336FF" w:rsidRPr="001F3FC6">
        <w:rPr>
          <w:rFonts w:cs="David" w:hint="cs"/>
          <w:sz w:val="24"/>
          <w:szCs w:val="24"/>
          <w:rtl/>
        </w:rPr>
        <w:t xml:space="preserve">שכן </w:t>
      </w:r>
      <w:r w:rsidR="008D27F5" w:rsidRPr="001F3FC6">
        <w:rPr>
          <w:rFonts w:cs="David" w:hint="cs"/>
          <w:sz w:val="24"/>
          <w:szCs w:val="24"/>
          <w:rtl/>
        </w:rPr>
        <w:t>"</w:t>
      </w:r>
      <w:r w:rsidR="008D27F5" w:rsidRPr="001F3FC6">
        <w:rPr>
          <w:rFonts w:cs="David"/>
          <w:sz w:val="24"/>
          <w:szCs w:val="24"/>
          <w:rtl/>
        </w:rPr>
        <w:t>כשם שזה חופר בתוך שלו</w:t>
      </w:r>
      <w:r w:rsidR="006336FF" w:rsidRPr="001F3FC6">
        <w:rPr>
          <w:rFonts w:cs="David" w:hint="cs"/>
          <w:sz w:val="24"/>
          <w:szCs w:val="24"/>
          <w:rtl/>
        </w:rPr>
        <w:t>,</w:t>
      </w:r>
      <w:r w:rsidR="008D27F5" w:rsidRPr="001F3FC6">
        <w:rPr>
          <w:rFonts w:cs="David"/>
          <w:sz w:val="24"/>
          <w:szCs w:val="24"/>
          <w:rtl/>
        </w:rPr>
        <w:t xml:space="preserve"> כך זה נוטע בתוך שלו</w:t>
      </w:r>
      <w:r w:rsidR="008D27F5" w:rsidRPr="001F3FC6">
        <w:rPr>
          <w:rFonts w:ascii="David" w:hAnsi="David" w:cs="David"/>
          <w:sz w:val="24"/>
          <w:szCs w:val="24"/>
          <w:rtl/>
        </w:rPr>
        <w:t>"</w:t>
      </w:r>
      <w:r w:rsidRPr="001F3FC6">
        <w:rPr>
          <w:rFonts w:ascii="David" w:hAnsi="David" w:cs="David"/>
          <w:sz w:val="24"/>
          <w:szCs w:val="24"/>
          <w:rtl/>
        </w:rPr>
        <w:t xml:space="preserve"> (שולחן ערוך, חושן משפט, סימן קנה, סעיף לב)</w:t>
      </w:r>
      <w:r w:rsidR="008D27F5" w:rsidRPr="001F3FC6">
        <w:rPr>
          <w:rFonts w:cs="David" w:hint="cs"/>
          <w:sz w:val="24"/>
          <w:szCs w:val="24"/>
          <w:rtl/>
        </w:rPr>
        <w:t xml:space="preserve">. ההלכה לא </w:t>
      </w:r>
      <w:r w:rsidRPr="001F3FC6">
        <w:rPr>
          <w:rFonts w:cs="David" w:hint="cs"/>
          <w:sz w:val="24"/>
          <w:szCs w:val="24"/>
          <w:rtl/>
        </w:rPr>
        <w:t xml:space="preserve">אסרה אפוא </w:t>
      </w:r>
      <w:r w:rsidR="008D27F5" w:rsidRPr="001F3FC6">
        <w:rPr>
          <w:rFonts w:cs="David" w:hint="cs"/>
          <w:sz w:val="24"/>
          <w:szCs w:val="24"/>
          <w:rtl/>
        </w:rPr>
        <w:t>נטיעת עצים בשל הנזק שהם עלולים לגרום, כיוון ש"</w:t>
      </w:r>
      <w:r w:rsidR="008D27F5" w:rsidRPr="001F3FC6">
        <w:rPr>
          <w:rFonts w:cs="David"/>
          <w:sz w:val="24"/>
          <w:szCs w:val="24"/>
          <w:rtl/>
        </w:rPr>
        <w:t>אי אפשר להחזיקו בשמירה כי אם בביטול רשות מנטיעת אילנות, ולניזק אפשר להרחיק ולשמור עצמו, בזה לא חייביה רחמנא למזיק</w:t>
      </w:r>
      <w:r w:rsidR="0089540F" w:rsidRPr="001F3FC6">
        <w:rPr>
          <w:rFonts w:cs="David" w:hint="cs"/>
          <w:sz w:val="24"/>
          <w:szCs w:val="24"/>
          <w:rtl/>
        </w:rPr>
        <w:t xml:space="preserve"> [</w:t>
      </w:r>
      <w:r w:rsidR="008D27F5" w:rsidRPr="001F3FC6">
        <w:rPr>
          <w:rFonts w:cs="David" w:hint="cs"/>
          <w:sz w:val="24"/>
          <w:szCs w:val="24"/>
          <w:rtl/>
        </w:rPr>
        <w:t>=</w:t>
      </w:r>
      <w:r w:rsidR="0089540F" w:rsidRPr="001F3FC6">
        <w:rPr>
          <w:rFonts w:cs="David" w:hint="cs"/>
          <w:sz w:val="24"/>
          <w:szCs w:val="24"/>
          <w:rtl/>
        </w:rPr>
        <w:t>לא חייב הקב"ה את המזיק]</w:t>
      </w:r>
      <w:r w:rsidR="008D27F5" w:rsidRPr="001F3FC6">
        <w:rPr>
          <w:rFonts w:cs="David" w:hint="cs"/>
          <w:sz w:val="24"/>
          <w:szCs w:val="24"/>
          <w:rtl/>
        </w:rPr>
        <w:t>"</w:t>
      </w:r>
      <w:r w:rsidRPr="001F3FC6">
        <w:rPr>
          <w:rFonts w:hint="cs"/>
          <w:rtl/>
        </w:rPr>
        <w:t xml:space="preserve"> </w:t>
      </w:r>
      <w:r w:rsidRPr="001F3FC6">
        <w:rPr>
          <w:rFonts w:ascii="David" w:hAnsi="David" w:cs="David"/>
          <w:sz w:val="24"/>
          <w:szCs w:val="24"/>
          <w:rtl/>
        </w:rPr>
        <w:t xml:space="preserve">(נתיבות המשפט, שם, ביאורים, </w:t>
      </w:r>
      <w:proofErr w:type="spellStart"/>
      <w:r w:rsidRPr="001F3FC6">
        <w:rPr>
          <w:rFonts w:ascii="David" w:hAnsi="David" w:cs="David"/>
          <w:sz w:val="24"/>
          <w:szCs w:val="24"/>
          <w:rtl/>
        </w:rPr>
        <w:t>ס"ק</w:t>
      </w:r>
      <w:proofErr w:type="spellEnd"/>
      <w:r w:rsidRPr="001F3FC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F3FC6">
        <w:rPr>
          <w:rFonts w:ascii="David" w:hAnsi="David" w:cs="David"/>
          <w:sz w:val="24"/>
          <w:szCs w:val="24"/>
          <w:rtl/>
        </w:rPr>
        <w:t>יח</w:t>
      </w:r>
      <w:proofErr w:type="spellEnd"/>
      <w:r w:rsidRPr="001F3FC6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;</w:t>
      </w:r>
      <w:r w:rsidR="008D27F5" w:rsidRPr="001F3FC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8D27F5" w:rsidRPr="001F3FC6">
        <w:rPr>
          <w:rFonts w:ascii="David" w:hAnsi="David" w:cs="David"/>
          <w:sz w:val="24"/>
          <w:szCs w:val="24"/>
          <w:rtl/>
        </w:rPr>
        <w:t>בלשוננו</w:t>
      </w:r>
      <w:r w:rsidR="001168A9" w:rsidRPr="001F3FC6">
        <w:rPr>
          <w:rFonts w:cs="David" w:hint="cs"/>
          <w:sz w:val="24"/>
          <w:szCs w:val="24"/>
          <w:rtl/>
        </w:rPr>
        <w:t>:</w:t>
      </w:r>
      <w:r w:rsidR="008D27F5" w:rsidRPr="001F3FC6">
        <w:rPr>
          <w:rFonts w:cs="David" w:hint="cs"/>
          <w:sz w:val="24"/>
          <w:szCs w:val="24"/>
          <w:rtl/>
        </w:rPr>
        <w:t xml:space="preserve"> זכותו של </w:t>
      </w:r>
      <w:r w:rsidR="001168A9" w:rsidRPr="001F3FC6">
        <w:rPr>
          <w:rFonts w:cs="David" w:hint="cs"/>
          <w:sz w:val="24"/>
          <w:szCs w:val="24"/>
          <w:rtl/>
        </w:rPr>
        <w:t>אדם</w:t>
      </w:r>
      <w:r w:rsidR="008D27F5" w:rsidRPr="001F3FC6">
        <w:rPr>
          <w:rFonts w:cs="David" w:hint="cs"/>
          <w:sz w:val="24"/>
          <w:szCs w:val="24"/>
          <w:rtl/>
        </w:rPr>
        <w:t xml:space="preserve"> לחפור בורות</w:t>
      </w:r>
      <w:r>
        <w:rPr>
          <w:rFonts w:cs="David" w:hint="cs"/>
          <w:sz w:val="24"/>
          <w:szCs w:val="24"/>
          <w:rtl/>
        </w:rPr>
        <w:t xml:space="preserve"> בשטחו אינה</w:t>
      </w:r>
      <w:r w:rsidR="008D27F5" w:rsidRPr="001F3FC6">
        <w:rPr>
          <w:rFonts w:cs="David" w:hint="cs"/>
          <w:sz w:val="24"/>
          <w:szCs w:val="24"/>
          <w:rtl/>
        </w:rPr>
        <w:t xml:space="preserve"> גדולה מזכותו של שכנו לנטוע עצים</w:t>
      </w:r>
      <w:r>
        <w:rPr>
          <w:rFonts w:cs="David" w:hint="cs"/>
          <w:sz w:val="24"/>
          <w:szCs w:val="24"/>
          <w:rtl/>
        </w:rPr>
        <w:t xml:space="preserve"> באדמתו</w:t>
      </w:r>
      <w:r w:rsidR="008D27F5" w:rsidRPr="001F3FC6">
        <w:rPr>
          <w:rFonts w:cs="David" w:hint="cs"/>
          <w:sz w:val="24"/>
          <w:szCs w:val="24"/>
          <w:rtl/>
        </w:rPr>
        <w:t>.</w:t>
      </w:r>
    </w:p>
    <w:p w:rsidR="008D27F5" w:rsidRPr="00916BC3" w:rsidRDefault="008D27F5" w:rsidP="001F3FC6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לכלל זה, המתיר לאדם לעשות בתוך שלו, נקבעו סייגים מ</w:t>
      </w:r>
      <w:r w:rsidR="001F3FC6">
        <w:rPr>
          <w:rFonts w:cs="David" w:hint="cs"/>
          <w:sz w:val="24"/>
          <w:szCs w:val="24"/>
          <w:rtl/>
        </w:rPr>
        <w:t>סוימים המפורטים בדברי הפוסקים, ומהם שלושה הרלבנטיים למושא דיוננו.</w:t>
      </w:r>
      <w:r>
        <w:rPr>
          <w:rFonts w:cs="David" w:hint="cs"/>
          <w:sz w:val="24"/>
          <w:szCs w:val="24"/>
          <w:rtl/>
        </w:rPr>
        <w:t xml:space="preserve"> </w:t>
      </w:r>
    </w:p>
    <w:p w:rsidR="00B67482" w:rsidRPr="002755EC" w:rsidRDefault="003A6C01" w:rsidP="009A1367">
      <w:pPr>
        <w:pStyle w:val="af6"/>
        <w:numPr>
          <w:ilvl w:val="0"/>
          <w:numId w:val="41"/>
        </w:num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 w:rsidRPr="002755EC">
        <w:rPr>
          <w:rFonts w:cs="David" w:hint="cs"/>
          <w:b/>
          <w:bCs/>
          <w:sz w:val="24"/>
          <w:szCs w:val="24"/>
          <w:rtl/>
        </w:rPr>
        <w:t xml:space="preserve">נזק לגופו של אדם </w:t>
      </w:r>
      <w:r w:rsidR="00BD5A90" w:rsidRPr="002755EC">
        <w:rPr>
          <w:rFonts w:cs="David"/>
          <w:b/>
          <w:bCs/>
          <w:sz w:val="24"/>
          <w:szCs w:val="24"/>
          <w:rtl/>
        </w:rPr>
        <w:t>–</w:t>
      </w:r>
      <w:r w:rsidRPr="002755EC">
        <w:rPr>
          <w:rFonts w:cs="David" w:hint="cs"/>
          <w:b/>
          <w:bCs/>
          <w:sz w:val="24"/>
          <w:szCs w:val="24"/>
          <w:rtl/>
        </w:rPr>
        <w:t xml:space="preserve"> </w:t>
      </w:r>
      <w:r w:rsidRPr="002755EC">
        <w:rPr>
          <w:rFonts w:cs="David" w:hint="cs"/>
          <w:sz w:val="24"/>
          <w:szCs w:val="24"/>
          <w:rtl/>
        </w:rPr>
        <w:t xml:space="preserve">ההלכה התחשבה בזכותו של </w:t>
      </w:r>
      <w:r w:rsidR="009A1367">
        <w:rPr>
          <w:rFonts w:cs="David" w:hint="cs"/>
          <w:sz w:val="24"/>
          <w:szCs w:val="24"/>
          <w:rtl/>
        </w:rPr>
        <w:t>האדם לממש את קניינו ולפעול בו כ</w:t>
      </w:r>
      <w:r w:rsidRPr="002755EC">
        <w:rPr>
          <w:rFonts w:cs="David" w:hint="cs"/>
          <w:sz w:val="24"/>
          <w:szCs w:val="24"/>
          <w:rtl/>
        </w:rPr>
        <w:t xml:space="preserve">רצונו </w:t>
      </w:r>
      <w:r w:rsidRPr="002755EC">
        <w:rPr>
          <w:rFonts w:cs="David"/>
          <w:sz w:val="24"/>
          <w:szCs w:val="24"/>
          <w:rtl/>
        </w:rPr>
        <w:t>–</w:t>
      </w:r>
      <w:r w:rsidRPr="002755EC">
        <w:rPr>
          <w:rFonts w:cs="David" w:hint="cs"/>
          <w:sz w:val="24"/>
          <w:szCs w:val="24"/>
          <w:rtl/>
        </w:rPr>
        <w:t xml:space="preserve"> לעיתים אף במקרים </w:t>
      </w:r>
      <w:r w:rsidR="002755EC" w:rsidRPr="002755EC">
        <w:rPr>
          <w:rFonts w:cs="David" w:hint="cs"/>
          <w:sz w:val="24"/>
          <w:szCs w:val="24"/>
          <w:rtl/>
        </w:rPr>
        <w:t>ש</w:t>
      </w:r>
      <w:r w:rsidRPr="002755EC">
        <w:rPr>
          <w:rFonts w:cs="David" w:hint="cs"/>
          <w:sz w:val="24"/>
          <w:szCs w:val="24"/>
          <w:rtl/>
        </w:rPr>
        <w:t xml:space="preserve">בהם עלול להיגרם נזק מסוים לרכושו של השכן </w:t>
      </w:r>
      <w:r w:rsidRPr="002755EC">
        <w:rPr>
          <w:rFonts w:cs="David"/>
          <w:sz w:val="24"/>
          <w:szCs w:val="24"/>
          <w:rtl/>
        </w:rPr>
        <w:t>–</w:t>
      </w:r>
      <w:r w:rsidR="0089540F">
        <w:rPr>
          <w:rFonts w:cs="David" w:hint="cs"/>
          <w:sz w:val="24"/>
          <w:szCs w:val="24"/>
          <w:rtl/>
        </w:rPr>
        <w:t xml:space="preserve"> אך רק במידה ש</w:t>
      </w:r>
      <w:r w:rsidRPr="002755EC">
        <w:rPr>
          <w:rFonts w:cs="David" w:hint="cs"/>
          <w:sz w:val="24"/>
          <w:szCs w:val="24"/>
          <w:rtl/>
        </w:rPr>
        <w:t>לא נגרם נזק לגופו של השכן.</w:t>
      </w:r>
      <w:r w:rsidR="001363AF" w:rsidRPr="001F3FC6">
        <w:rPr>
          <w:rStyle w:val="ad"/>
          <w:rtl/>
        </w:rPr>
        <w:endnoteReference w:id="1"/>
      </w:r>
      <w:r w:rsidRPr="002755EC">
        <w:rPr>
          <w:rFonts w:cs="David" w:hint="cs"/>
          <w:sz w:val="24"/>
          <w:szCs w:val="24"/>
          <w:rtl/>
        </w:rPr>
        <w:t xml:space="preserve"> במקרה של נזקי גוף</w:t>
      </w:r>
      <w:r w:rsidR="0089540F">
        <w:rPr>
          <w:rFonts w:cs="David" w:hint="cs"/>
          <w:sz w:val="24"/>
          <w:szCs w:val="24"/>
          <w:rtl/>
        </w:rPr>
        <w:t>,</w:t>
      </w:r>
      <w:r w:rsidRPr="002755EC">
        <w:rPr>
          <w:rFonts w:cs="David" w:hint="cs"/>
          <w:sz w:val="24"/>
          <w:szCs w:val="24"/>
          <w:rtl/>
        </w:rPr>
        <w:t xml:space="preserve"> יכול הניזוק לתבוע את </w:t>
      </w:r>
      <w:r w:rsidR="001F3FC6">
        <w:rPr>
          <w:rFonts w:cs="David" w:hint="cs"/>
          <w:sz w:val="24"/>
          <w:szCs w:val="24"/>
          <w:rtl/>
        </w:rPr>
        <w:t xml:space="preserve">שכנו </w:t>
      </w:r>
      <w:r w:rsidRPr="002755EC">
        <w:rPr>
          <w:rFonts w:cs="David" w:hint="cs"/>
          <w:sz w:val="24"/>
          <w:szCs w:val="24"/>
          <w:rtl/>
        </w:rPr>
        <w:t xml:space="preserve">המזיק </w:t>
      </w:r>
      <w:r w:rsidR="001F3FC6">
        <w:rPr>
          <w:rFonts w:cs="David" w:hint="cs"/>
          <w:sz w:val="24"/>
          <w:szCs w:val="24"/>
          <w:rtl/>
        </w:rPr>
        <w:t xml:space="preserve">ולכפות עליו </w:t>
      </w:r>
      <w:r w:rsidRPr="002755EC">
        <w:rPr>
          <w:rFonts w:cs="David" w:hint="cs"/>
          <w:sz w:val="24"/>
          <w:szCs w:val="24"/>
          <w:rtl/>
        </w:rPr>
        <w:t xml:space="preserve">להפסיק את הפעולה </w:t>
      </w:r>
      <w:r w:rsidR="001F3FC6">
        <w:rPr>
          <w:rFonts w:cs="David" w:hint="cs"/>
          <w:sz w:val="24"/>
          <w:szCs w:val="24"/>
          <w:rtl/>
        </w:rPr>
        <w:lastRenderedPageBreak/>
        <w:t xml:space="preserve">הגורמת לנזק; וזאת גם </w:t>
      </w:r>
      <w:r w:rsidRPr="002755EC">
        <w:rPr>
          <w:rFonts w:cs="David" w:hint="cs"/>
          <w:sz w:val="24"/>
          <w:szCs w:val="24"/>
          <w:rtl/>
        </w:rPr>
        <w:t xml:space="preserve">אם </w:t>
      </w:r>
      <w:r w:rsidR="001168A9">
        <w:rPr>
          <w:rFonts w:cs="David" w:hint="cs"/>
          <w:sz w:val="24"/>
          <w:szCs w:val="24"/>
          <w:rtl/>
        </w:rPr>
        <w:t>שתק במשך זמן מסוי</w:t>
      </w:r>
      <w:r w:rsidRPr="002755EC">
        <w:rPr>
          <w:rFonts w:cs="David" w:hint="cs"/>
          <w:sz w:val="24"/>
          <w:szCs w:val="24"/>
          <w:rtl/>
        </w:rPr>
        <w:t>ם</w:t>
      </w:r>
      <w:r w:rsidR="001F3FC6">
        <w:rPr>
          <w:rFonts w:cs="David" w:hint="cs"/>
          <w:sz w:val="24"/>
          <w:szCs w:val="24"/>
          <w:rtl/>
        </w:rPr>
        <w:t xml:space="preserve"> ואִפשר לשכנו להזיק בזמן זה</w:t>
      </w:r>
      <w:r w:rsidRPr="002755EC">
        <w:rPr>
          <w:rFonts w:cs="David" w:hint="cs"/>
          <w:sz w:val="24"/>
          <w:szCs w:val="24"/>
          <w:rtl/>
        </w:rPr>
        <w:t>. אחד מן הנזקים המוזכרים בהלכה כנזקי גוף הוא העשן, "</w:t>
      </w:r>
      <w:r w:rsidRPr="002755EC">
        <w:rPr>
          <w:rFonts w:cs="David"/>
          <w:sz w:val="24"/>
          <w:szCs w:val="24"/>
          <w:rtl/>
        </w:rPr>
        <w:t>שהעשן מזיק לבני אדם בעיניהם או שגורם שיעול</w:t>
      </w:r>
      <w:r w:rsidRPr="002755EC">
        <w:rPr>
          <w:rFonts w:cs="David" w:hint="cs"/>
          <w:sz w:val="24"/>
          <w:szCs w:val="24"/>
          <w:rtl/>
        </w:rPr>
        <w:t>"</w:t>
      </w:r>
      <w:r w:rsidR="001F3FC6" w:rsidRPr="001F3FC6">
        <w:rPr>
          <w:rFonts w:hint="cs"/>
          <w:rtl/>
        </w:rPr>
        <w:t xml:space="preserve"> </w:t>
      </w:r>
      <w:r w:rsidR="001F3FC6" w:rsidRPr="001F3FC6">
        <w:rPr>
          <w:rFonts w:ascii="David" w:hAnsi="David" w:cs="David"/>
          <w:sz w:val="24"/>
          <w:szCs w:val="24"/>
          <w:rtl/>
        </w:rPr>
        <w:t>(ערוך השולחן, חושן משפט, סימן קנה, סעיף ל);</w:t>
      </w:r>
      <w:r w:rsidR="000639F6" w:rsidRPr="002755EC">
        <w:rPr>
          <w:rFonts w:cs="David" w:hint="cs"/>
          <w:b/>
          <w:bCs/>
          <w:sz w:val="24"/>
          <w:szCs w:val="24"/>
          <w:rtl/>
        </w:rPr>
        <w:t xml:space="preserve"> </w:t>
      </w:r>
      <w:r w:rsidR="009A1367" w:rsidRPr="009A1367">
        <w:rPr>
          <w:rFonts w:cs="David" w:hint="cs"/>
          <w:sz w:val="24"/>
          <w:szCs w:val="24"/>
          <w:rtl/>
        </w:rPr>
        <w:t>ו</w:t>
      </w:r>
      <w:r w:rsidR="000639F6" w:rsidRPr="002755EC">
        <w:rPr>
          <w:rFonts w:cs="David" w:hint="cs"/>
          <w:sz w:val="24"/>
          <w:szCs w:val="24"/>
          <w:rtl/>
        </w:rPr>
        <w:t xml:space="preserve">קל וחומר </w:t>
      </w:r>
      <w:r w:rsidR="009A1367">
        <w:rPr>
          <w:rFonts w:cs="David" w:hint="cs"/>
          <w:sz w:val="24"/>
          <w:szCs w:val="24"/>
          <w:rtl/>
        </w:rPr>
        <w:t>שהדברים נכונים</w:t>
      </w:r>
      <w:r w:rsidR="000639F6" w:rsidRPr="002755EC">
        <w:rPr>
          <w:rFonts w:cs="David" w:hint="cs"/>
          <w:sz w:val="24"/>
          <w:szCs w:val="24"/>
          <w:rtl/>
        </w:rPr>
        <w:t xml:space="preserve"> </w:t>
      </w:r>
      <w:r w:rsidR="009A1367">
        <w:rPr>
          <w:rFonts w:cs="David" w:hint="cs"/>
          <w:sz w:val="24"/>
          <w:szCs w:val="24"/>
          <w:rtl/>
        </w:rPr>
        <w:t xml:space="preserve">כאשר </w:t>
      </w:r>
      <w:r w:rsidR="000639F6" w:rsidRPr="002755EC">
        <w:rPr>
          <w:rFonts w:cs="David" w:hint="cs"/>
          <w:sz w:val="24"/>
          <w:szCs w:val="24"/>
          <w:rtl/>
        </w:rPr>
        <w:t>ה</w:t>
      </w:r>
      <w:r w:rsidR="009A1367">
        <w:rPr>
          <w:rFonts w:cs="David" w:hint="cs"/>
          <w:sz w:val="24"/>
          <w:szCs w:val="24"/>
          <w:rtl/>
        </w:rPr>
        <w:t xml:space="preserve">חשש אינו רק לשיעול או </w:t>
      </w:r>
      <w:r w:rsidR="00514C1A" w:rsidRPr="002755EC">
        <w:rPr>
          <w:rFonts w:cs="David" w:hint="cs"/>
          <w:sz w:val="24"/>
          <w:szCs w:val="24"/>
          <w:rtl/>
        </w:rPr>
        <w:t xml:space="preserve">צריבה בעיניים </w:t>
      </w:r>
      <w:r w:rsidR="009A1367">
        <w:rPr>
          <w:rFonts w:cs="David" w:hint="cs"/>
          <w:sz w:val="24"/>
          <w:szCs w:val="24"/>
          <w:rtl/>
        </w:rPr>
        <w:t>אלא לסכנת</w:t>
      </w:r>
      <w:r w:rsidR="00514C1A" w:rsidRPr="002755EC">
        <w:rPr>
          <w:rFonts w:cs="David" w:hint="cs"/>
          <w:sz w:val="24"/>
          <w:szCs w:val="24"/>
          <w:rtl/>
        </w:rPr>
        <w:t xml:space="preserve"> חיים ממשי</w:t>
      </w:r>
      <w:r w:rsidR="009A1367">
        <w:rPr>
          <w:rFonts w:cs="David" w:hint="cs"/>
          <w:sz w:val="24"/>
          <w:szCs w:val="24"/>
          <w:rtl/>
        </w:rPr>
        <w:t>ת</w:t>
      </w:r>
      <w:r w:rsidR="00514C1A" w:rsidRPr="002755EC">
        <w:rPr>
          <w:rFonts w:cs="David" w:hint="cs"/>
          <w:sz w:val="24"/>
          <w:szCs w:val="24"/>
          <w:rtl/>
        </w:rPr>
        <w:t>.</w:t>
      </w:r>
      <w:r w:rsidR="00514C1A" w:rsidRPr="001168A9">
        <w:rPr>
          <w:rStyle w:val="ad"/>
          <w:rtl/>
        </w:rPr>
        <w:endnoteReference w:id="2"/>
      </w:r>
    </w:p>
    <w:p w:rsidR="001363AF" w:rsidRDefault="001363AF" w:rsidP="002755EC">
      <w:pPr>
        <w:pStyle w:val="af6"/>
        <w:numPr>
          <w:ilvl w:val="0"/>
          <w:numId w:val="41"/>
        </w:num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נזק במעשה ישיר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ההלכה התירה לאדם להשתמש ברכושו גם באופן הגורם נזק לרכוש הזולת, </w:t>
      </w:r>
      <w:r w:rsidR="002755EC">
        <w:rPr>
          <w:rFonts w:cs="David" w:hint="cs"/>
          <w:sz w:val="24"/>
          <w:szCs w:val="24"/>
          <w:rtl/>
        </w:rPr>
        <w:t>אך רק במידה ש</w:t>
      </w:r>
      <w:r>
        <w:rPr>
          <w:rFonts w:cs="David" w:hint="cs"/>
          <w:sz w:val="24"/>
          <w:szCs w:val="24"/>
          <w:rtl/>
        </w:rPr>
        <w:t xml:space="preserve">מדובר </w:t>
      </w:r>
      <w:r w:rsidR="002755EC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נזק הנגרם מאליו</w:t>
      </w:r>
      <w:r w:rsidR="002755EC">
        <w:rPr>
          <w:rFonts w:cs="David" w:hint="cs"/>
          <w:sz w:val="24"/>
          <w:szCs w:val="24"/>
          <w:rtl/>
        </w:rPr>
        <w:t xml:space="preserve"> (כגון נטיעת עץ ששורשיו יזיקו בהמשך)</w:t>
      </w:r>
      <w:r>
        <w:rPr>
          <w:rFonts w:cs="David" w:hint="cs"/>
          <w:sz w:val="24"/>
          <w:szCs w:val="24"/>
          <w:rtl/>
        </w:rPr>
        <w:t xml:space="preserve">, </w:t>
      </w:r>
      <w:r w:rsidR="002755EC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לא התירה שימוש המזיק באופן ישיר.</w:t>
      </w:r>
      <w:r w:rsidRPr="002755EC">
        <w:rPr>
          <w:rStyle w:val="ad"/>
          <w:rtl/>
        </w:rPr>
        <w:endnoteReference w:id="3"/>
      </w:r>
      <w:r>
        <w:rPr>
          <w:rFonts w:cs="David" w:hint="cs"/>
          <w:sz w:val="24"/>
          <w:szCs w:val="24"/>
          <w:rtl/>
        </w:rPr>
        <w:t xml:space="preserve"> </w:t>
      </w:r>
      <w:r w:rsidR="00DF6FE3">
        <w:rPr>
          <w:rFonts w:cs="David" w:hint="cs"/>
          <w:sz w:val="24"/>
          <w:szCs w:val="24"/>
          <w:rtl/>
        </w:rPr>
        <w:t xml:space="preserve">פליטת עשן הסיגריה </w:t>
      </w:r>
      <w:r w:rsidR="002755EC">
        <w:rPr>
          <w:rFonts w:cs="David" w:hint="cs"/>
          <w:sz w:val="24"/>
          <w:szCs w:val="24"/>
          <w:rtl/>
        </w:rPr>
        <w:t xml:space="preserve">היא </w:t>
      </w:r>
      <w:r w:rsidR="00DF6FE3">
        <w:rPr>
          <w:rFonts w:cs="David" w:hint="cs"/>
          <w:sz w:val="24"/>
          <w:szCs w:val="24"/>
          <w:rtl/>
        </w:rPr>
        <w:t>מעשה נזק ישיר</w:t>
      </w:r>
      <w:r w:rsidR="002755EC">
        <w:rPr>
          <w:rFonts w:cs="David" w:hint="cs"/>
          <w:sz w:val="24"/>
          <w:szCs w:val="24"/>
          <w:rtl/>
        </w:rPr>
        <w:t>, הנגרם על ידי</w:t>
      </w:r>
      <w:r w:rsidR="00DF6FE3">
        <w:rPr>
          <w:rFonts w:cs="David" w:hint="cs"/>
          <w:sz w:val="24"/>
          <w:szCs w:val="24"/>
          <w:rtl/>
        </w:rPr>
        <w:t xml:space="preserve"> המעשן, ועל כן אינ</w:t>
      </w:r>
      <w:r w:rsidR="002755EC">
        <w:rPr>
          <w:rFonts w:cs="David" w:hint="cs"/>
          <w:sz w:val="24"/>
          <w:szCs w:val="24"/>
          <w:rtl/>
        </w:rPr>
        <w:t>ו נכלל בין היתרי השימוש הרגילים</w:t>
      </w:r>
      <w:r w:rsidR="00DF6FE3">
        <w:rPr>
          <w:rFonts w:cs="David" w:hint="cs"/>
          <w:sz w:val="24"/>
          <w:szCs w:val="24"/>
          <w:rtl/>
        </w:rPr>
        <w:t>.</w:t>
      </w:r>
      <w:r w:rsidR="00DF6FE3" w:rsidRPr="002755EC">
        <w:rPr>
          <w:rStyle w:val="ad"/>
          <w:rtl/>
        </w:rPr>
        <w:endnoteReference w:id="4"/>
      </w:r>
    </w:p>
    <w:p w:rsidR="001363AF" w:rsidRPr="00514C1A" w:rsidRDefault="000639F6" w:rsidP="009A1367">
      <w:pPr>
        <w:pStyle w:val="af6"/>
        <w:numPr>
          <w:ilvl w:val="0"/>
          <w:numId w:val="41"/>
        </w:num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צורך </w:t>
      </w:r>
      <w:r w:rsidR="00195515">
        <w:rPr>
          <w:rFonts w:cs="David" w:hint="cs"/>
          <w:b/>
          <w:bCs/>
          <w:sz w:val="24"/>
          <w:szCs w:val="24"/>
          <w:rtl/>
        </w:rPr>
        <w:t>ראוי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כפי שנאמר לעיל, ההלכה הכיר</w:t>
      </w:r>
      <w:r w:rsidR="009A1367">
        <w:rPr>
          <w:rFonts w:cs="David" w:hint="cs"/>
          <w:sz w:val="24"/>
          <w:szCs w:val="24"/>
          <w:rtl/>
        </w:rPr>
        <w:t xml:space="preserve">ה בזכותו של אדם להשתמש ברשותו </w:t>
      </w:r>
      <w:r>
        <w:rPr>
          <w:rFonts w:cs="David" w:hint="cs"/>
          <w:sz w:val="24"/>
          <w:szCs w:val="24"/>
          <w:rtl/>
        </w:rPr>
        <w:t>אף אם שימוש זה עלול לה</w:t>
      </w:r>
      <w:r w:rsidR="009A1367">
        <w:rPr>
          <w:rFonts w:cs="David" w:hint="cs"/>
          <w:sz w:val="24"/>
          <w:szCs w:val="24"/>
          <w:rtl/>
        </w:rPr>
        <w:t>זיק</w:t>
      </w:r>
      <w:r>
        <w:rPr>
          <w:rFonts w:cs="David" w:hint="cs"/>
          <w:sz w:val="24"/>
          <w:szCs w:val="24"/>
          <w:rtl/>
        </w:rPr>
        <w:t xml:space="preserve"> בסופו של דבר </w:t>
      </w:r>
      <w:r w:rsidR="009A1367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>אדם אחר, כיוון ש"כשם שזה חופר בתוך שלו</w:t>
      </w:r>
      <w:r w:rsidR="009A1367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כך זה נוטע בתוך שלו"</w:t>
      </w:r>
      <w:r w:rsidR="009A1367">
        <w:rPr>
          <w:rFonts w:cs="David" w:hint="cs"/>
          <w:sz w:val="24"/>
          <w:szCs w:val="24"/>
          <w:rtl/>
        </w:rPr>
        <w:t>; אלא</w:t>
      </w:r>
      <w:r>
        <w:rPr>
          <w:rFonts w:cs="David" w:hint="cs"/>
          <w:sz w:val="24"/>
          <w:szCs w:val="24"/>
          <w:rtl/>
        </w:rPr>
        <w:t xml:space="preserve"> </w:t>
      </w:r>
      <w:r w:rsidR="009A1367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 xml:space="preserve">השוואה זו בנויה על ההנחה כי שני הצדדים משתמשים ברשותם לצרכים ראויים. יש </w:t>
      </w:r>
      <w:r w:rsidR="009A1367">
        <w:rPr>
          <w:rFonts w:cs="David" w:hint="cs"/>
          <w:sz w:val="24"/>
          <w:szCs w:val="24"/>
          <w:rtl/>
        </w:rPr>
        <w:t>מן הפוסקים שכתבו</w:t>
      </w:r>
      <w:r>
        <w:rPr>
          <w:rFonts w:cs="David" w:hint="cs"/>
          <w:sz w:val="24"/>
          <w:szCs w:val="24"/>
          <w:rtl/>
        </w:rPr>
        <w:t xml:space="preserve"> כי במצב </w:t>
      </w:r>
      <w:r w:rsidR="009A1367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 xml:space="preserve">בו השימוש המביא לנזק הוא שימוש </w:t>
      </w:r>
      <w:proofErr w:type="spellStart"/>
      <w:r w:rsidR="009A1367">
        <w:rPr>
          <w:rFonts w:cs="David" w:hint="cs"/>
          <w:sz w:val="24"/>
          <w:szCs w:val="24"/>
          <w:rtl/>
        </w:rPr>
        <w:t>לא</w:t>
      </w:r>
      <w:r w:rsidR="009A1367">
        <w:rPr>
          <w:rFonts w:cs="David" w:hint="eastAsia"/>
          <w:sz w:val="24"/>
          <w:szCs w:val="24"/>
          <w:rtl/>
        </w:rPr>
        <w:t>־</w:t>
      </w:r>
      <w:r w:rsidR="00514C1A">
        <w:rPr>
          <w:rFonts w:cs="David" w:hint="cs"/>
          <w:sz w:val="24"/>
          <w:szCs w:val="24"/>
          <w:rtl/>
        </w:rPr>
        <w:t>ראוי</w:t>
      </w:r>
      <w:proofErr w:type="spellEnd"/>
      <w:r>
        <w:rPr>
          <w:rFonts w:cs="David" w:hint="cs"/>
          <w:sz w:val="24"/>
          <w:szCs w:val="24"/>
          <w:rtl/>
        </w:rPr>
        <w:t>, הוא יידחה מ</w:t>
      </w:r>
      <w:r w:rsidR="009A1367">
        <w:rPr>
          <w:rFonts w:cs="David" w:hint="cs"/>
          <w:sz w:val="24"/>
          <w:szCs w:val="24"/>
          <w:rtl/>
        </w:rPr>
        <w:t>חמת</w:t>
      </w:r>
      <w:r>
        <w:rPr>
          <w:rFonts w:cs="David" w:hint="cs"/>
          <w:sz w:val="24"/>
          <w:szCs w:val="24"/>
          <w:rtl/>
        </w:rPr>
        <w:t xml:space="preserve"> הנזק שהוא גורם.</w:t>
      </w:r>
      <w:r w:rsidR="00514C1A" w:rsidRPr="002755EC">
        <w:rPr>
          <w:rStyle w:val="ad"/>
          <w:rtl/>
        </w:rPr>
        <w:endnoteReference w:id="5"/>
      </w:r>
      <w:r w:rsidR="00514C1A">
        <w:rPr>
          <w:rFonts w:cs="David" w:hint="cs"/>
          <w:sz w:val="24"/>
          <w:szCs w:val="24"/>
          <w:rtl/>
        </w:rPr>
        <w:t xml:space="preserve"> העישון, </w:t>
      </w:r>
      <w:r w:rsidR="009A1367">
        <w:rPr>
          <w:rFonts w:cs="David" w:hint="cs"/>
          <w:sz w:val="24"/>
          <w:szCs w:val="24"/>
          <w:rtl/>
        </w:rPr>
        <w:t>ש</w:t>
      </w:r>
      <w:r w:rsidR="00514C1A">
        <w:rPr>
          <w:rFonts w:cs="David" w:hint="cs"/>
          <w:sz w:val="24"/>
          <w:szCs w:val="24"/>
          <w:rtl/>
        </w:rPr>
        <w:t>רבים מן הפוסקים אוסרים אותו כליל,</w:t>
      </w:r>
      <w:r w:rsidR="00195515" w:rsidRPr="002755EC">
        <w:rPr>
          <w:rStyle w:val="ad"/>
          <w:rtl/>
        </w:rPr>
        <w:endnoteReference w:id="6"/>
      </w:r>
      <w:r w:rsidR="00514C1A">
        <w:rPr>
          <w:rFonts w:cs="David" w:hint="cs"/>
          <w:sz w:val="24"/>
          <w:szCs w:val="24"/>
          <w:rtl/>
        </w:rPr>
        <w:t xml:space="preserve"> ודאי אינו נחשב למעשה הנכלל תחת ההגנה של מעשה ראוי, ועל כן פוסקים אלה י</w:t>
      </w:r>
      <w:r w:rsidR="009A1367">
        <w:rPr>
          <w:rFonts w:cs="David" w:hint="cs"/>
          <w:sz w:val="24"/>
          <w:szCs w:val="24"/>
          <w:rtl/>
        </w:rPr>
        <w:t>י</w:t>
      </w:r>
      <w:r w:rsidR="00514C1A">
        <w:rPr>
          <w:rFonts w:cs="David" w:hint="cs"/>
          <w:sz w:val="24"/>
          <w:szCs w:val="24"/>
          <w:rtl/>
        </w:rPr>
        <w:t>דחו אותו מפני הנזק שהוא גורם.</w:t>
      </w:r>
      <w:r w:rsidR="00514C1A" w:rsidRPr="002755EC">
        <w:rPr>
          <w:rStyle w:val="ad"/>
          <w:rtl/>
        </w:rPr>
        <w:endnoteReference w:id="7"/>
      </w:r>
    </w:p>
    <w:p w:rsidR="00514C1A" w:rsidRDefault="0089540F" w:rsidP="001F3FC6">
      <w:pPr>
        <w:spacing w:after="2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מכלל </w:t>
      </w:r>
      <w:r w:rsidR="001363AF" w:rsidRPr="001363AF">
        <w:rPr>
          <w:rFonts w:cs="David"/>
          <w:sz w:val="24"/>
          <w:szCs w:val="24"/>
          <w:rtl/>
        </w:rPr>
        <w:t xml:space="preserve">הדברים </w:t>
      </w:r>
      <w:r>
        <w:rPr>
          <w:rFonts w:cs="David" w:hint="cs"/>
          <w:sz w:val="24"/>
          <w:szCs w:val="24"/>
          <w:rtl/>
        </w:rPr>
        <w:t xml:space="preserve">עולה כי דייר בבית מגורים משותף רשאי, </w:t>
      </w:r>
      <w:r w:rsidRPr="001363AF">
        <w:rPr>
          <w:rFonts w:cs="David"/>
          <w:sz w:val="24"/>
          <w:szCs w:val="24"/>
          <w:rtl/>
        </w:rPr>
        <w:t>על פי דין</w:t>
      </w:r>
      <w:r>
        <w:rPr>
          <w:rFonts w:cs="David" w:hint="cs"/>
          <w:sz w:val="24"/>
          <w:szCs w:val="24"/>
          <w:rtl/>
        </w:rPr>
        <w:t xml:space="preserve">, </w:t>
      </w:r>
      <w:r w:rsidR="001363AF" w:rsidRPr="001363AF">
        <w:rPr>
          <w:rFonts w:cs="David"/>
          <w:sz w:val="24"/>
          <w:szCs w:val="24"/>
          <w:rtl/>
        </w:rPr>
        <w:t xml:space="preserve">לדרוש </w:t>
      </w:r>
      <w:r>
        <w:rPr>
          <w:rFonts w:cs="David" w:hint="cs"/>
          <w:sz w:val="24"/>
          <w:szCs w:val="24"/>
          <w:rtl/>
        </w:rPr>
        <w:t>משכנו להפסיק לעשן;</w:t>
      </w:r>
      <w:r w:rsidR="00DF6FE3">
        <w:rPr>
          <w:rFonts w:cs="David" w:hint="cs"/>
          <w:sz w:val="24"/>
          <w:szCs w:val="24"/>
          <w:rtl/>
        </w:rPr>
        <w:t xml:space="preserve"> ו</w:t>
      </w:r>
      <w:r w:rsidR="00DF6FE3" w:rsidRPr="00DF6FE3">
        <w:rPr>
          <w:rFonts w:cs="David"/>
          <w:sz w:val="24"/>
          <w:szCs w:val="24"/>
          <w:rtl/>
        </w:rPr>
        <w:t xml:space="preserve">במקרה כזה חייב המעשן להרחיק משכנו את נזקי העשן </w:t>
      </w:r>
      <w:r>
        <w:rPr>
          <w:rFonts w:cs="David" w:hint="cs"/>
          <w:sz w:val="24"/>
          <w:szCs w:val="24"/>
          <w:rtl/>
        </w:rPr>
        <w:t>א</w:t>
      </w:r>
      <w:r w:rsidR="00DF6FE3" w:rsidRPr="00DF6FE3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</w:t>
      </w:r>
      <w:r w:rsidR="00DF6FE3" w:rsidRPr="00DF6FE3">
        <w:rPr>
          <w:rFonts w:cs="David"/>
          <w:sz w:val="24"/>
          <w:szCs w:val="24"/>
          <w:rtl/>
        </w:rPr>
        <w:t>להימנע מעישון</w:t>
      </w:r>
      <w:r w:rsidR="00DF6FE3">
        <w:rPr>
          <w:rFonts w:cs="David" w:hint="cs"/>
          <w:sz w:val="24"/>
          <w:szCs w:val="24"/>
          <w:rtl/>
        </w:rPr>
        <w:t xml:space="preserve"> </w:t>
      </w:r>
      <w:r w:rsidR="00DF6FE3">
        <w:rPr>
          <w:rFonts w:cs="David"/>
          <w:sz w:val="24"/>
          <w:szCs w:val="24"/>
          <w:rtl/>
        </w:rPr>
        <w:t>–</w:t>
      </w:r>
      <w:r w:rsidR="00DF6FE3">
        <w:rPr>
          <w:rFonts w:cs="David" w:hint="cs"/>
          <w:sz w:val="24"/>
          <w:szCs w:val="24"/>
          <w:rtl/>
        </w:rPr>
        <w:t xml:space="preserve"> וכן </w:t>
      </w:r>
      <w:r>
        <w:rPr>
          <w:rFonts w:cs="David" w:hint="cs"/>
          <w:sz w:val="24"/>
          <w:szCs w:val="24"/>
          <w:rtl/>
        </w:rPr>
        <w:t xml:space="preserve">אכן </w:t>
      </w:r>
      <w:r w:rsidR="00DF6FE3">
        <w:rPr>
          <w:rFonts w:cs="David" w:hint="cs"/>
          <w:sz w:val="24"/>
          <w:szCs w:val="24"/>
          <w:rtl/>
        </w:rPr>
        <w:t>כתבו הפוסקים.</w:t>
      </w:r>
      <w:r w:rsidR="00DF6FE3">
        <w:rPr>
          <w:rStyle w:val="af0"/>
          <w:sz w:val="24"/>
          <w:szCs w:val="24"/>
          <w:rtl/>
        </w:rPr>
        <w:endnoteReference w:id="8"/>
      </w:r>
    </w:p>
    <w:p w:rsidR="00DF6FE3" w:rsidRPr="001F3FC6" w:rsidRDefault="001F3FC6" w:rsidP="001F3FC6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ב. </w:t>
      </w:r>
      <w:r w:rsidR="00DF6FE3" w:rsidRPr="001F3FC6">
        <w:rPr>
          <w:rFonts w:cs="David" w:hint="cs"/>
          <w:b/>
          <w:bCs/>
          <w:sz w:val="24"/>
          <w:szCs w:val="24"/>
          <w:rtl/>
        </w:rPr>
        <w:t>קנס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0639F6">
        <w:rPr>
          <w:rFonts w:cs="David" w:hint="cs"/>
          <w:sz w:val="24"/>
          <w:szCs w:val="24"/>
          <w:rtl/>
        </w:rPr>
        <w:t xml:space="preserve">אף שההלכה אינה כוללת בתוכה קנסות לעובר על נזקי שכנים, </w:t>
      </w:r>
      <w:r w:rsidR="00195515">
        <w:rPr>
          <w:rFonts w:cs="David" w:hint="cs"/>
          <w:sz w:val="24"/>
          <w:szCs w:val="24"/>
          <w:rtl/>
        </w:rPr>
        <w:t>רשאים בני המדינה לקבוע תקנות לצורך חיים משותפים ואף לקנוס את העובר על תקנות אלה</w:t>
      </w:r>
      <w:r w:rsidR="0089540F">
        <w:rPr>
          <w:rFonts w:cs="David" w:hint="cs"/>
          <w:sz w:val="24"/>
          <w:szCs w:val="24"/>
          <w:rtl/>
        </w:rPr>
        <w:t>;</w:t>
      </w:r>
      <w:r w:rsidR="00195515" w:rsidRPr="0089540F">
        <w:rPr>
          <w:rStyle w:val="ad"/>
          <w:rtl/>
        </w:rPr>
        <w:endnoteReference w:id="9"/>
      </w:r>
      <w:r w:rsidR="00195515">
        <w:rPr>
          <w:rFonts w:cs="David" w:hint="cs"/>
          <w:sz w:val="24"/>
          <w:szCs w:val="24"/>
          <w:rtl/>
        </w:rPr>
        <w:t xml:space="preserve"> ויש מקום לשקול גם חיוב תשלום כלפי השכן שנפגע, כדינו של כל מזיק.</w:t>
      </w:r>
      <w:r w:rsidR="00195515" w:rsidRPr="0089540F">
        <w:rPr>
          <w:rStyle w:val="ad"/>
          <w:rtl/>
        </w:rPr>
        <w:endnoteReference w:id="10"/>
      </w:r>
    </w:p>
    <w:p w:rsidR="00B67482" w:rsidRPr="0089540F" w:rsidRDefault="00A81E14" w:rsidP="0089540F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bookmarkStart w:id="2" w:name="_Hlk532689196"/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2755EC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2755EC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7D5E44">
        <w:rPr>
          <w:rFonts w:cs="David" w:hint="cs"/>
          <w:b/>
          <w:bCs/>
          <w:sz w:val="24"/>
          <w:szCs w:val="24"/>
          <w:rtl/>
        </w:rPr>
        <w:t xml:space="preserve">תומכים בחקיקה </w:t>
      </w:r>
      <w:r w:rsidR="002755EC">
        <w:rPr>
          <w:rFonts w:cs="David" w:hint="cs"/>
          <w:b/>
          <w:bCs/>
          <w:sz w:val="24"/>
          <w:szCs w:val="24"/>
          <w:rtl/>
        </w:rPr>
        <w:t>ש</w:t>
      </w:r>
      <w:r w:rsidR="007D5E44">
        <w:rPr>
          <w:rFonts w:cs="David" w:hint="cs"/>
          <w:b/>
          <w:bCs/>
          <w:sz w:val="24"/>
          <w:szCs w:val="24"/>
          <w:rtl/>
        </w:rPr>
        <w:t>תמנע עישון בבתים משותפים באופן החושף דיירים אחרים לסכנות הנובעות משאיפת העשן.</w:t>
      </w:r>
      <w:bookmarkEnd w:id="2"/>
    </w:p>
    <w:sectPr w:rsidR="00B67482" w:rsidRPr="0089540F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853" w:rsidRDefault="007D1853">
      <w:r>
        <w:separator/>
      </w:r>
    </w:p>
  </w:endnote>
  <w:endnote w:type="continuationSeparator" w:id="0">
    <w:p w:rsidR="007D1853" w:rsidRDefault="007D1853">
      <w:r>
        <w:continuationSeparator/>
      </w:r>
    </w:p>
  </w:endnote>
  <w:endnote w:id="1">
    <w:p w:rsidR="001363AF" w:rsidRDefault="001363AF" w:rsidP="002755EC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רא</w:t>
      </w:r>
      <w:r w:rsidR="002755EC">
        <w:rPr>
          <w:rFonts w:hint="cs"/>
          <w:rtl/>
        </w:rPr>
        <w:t xml:space="preserve">ו בבא </w:t>
      </w:r>
      <w:proofErr w:type="spellStart"/>
      <w:r>
        <w:rPr>
          <w:rFonts w:hint="cs"/>
          <w:rtl/>
        </w:rPr>
        <w:t>ב</w:t>
      </w:r>
      <w:r w:rsidR="002755EC">
        <w:rPr>
          <w:rFonts w:hint="cs"/>
          <w:rtl/>
        </w:rPr>
        <w:t>תרא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 ע"א </w:t>
      </w:r>
      <w:r w:rsidR="002755EC">
        <w:rPr>
          <w:rFonts w:hint="cs"/>
          <w:rtl/>
        </w:rPr>
        <w:t xml:space="preserve">("אין חזקה </w:t>
      </w:r>
      <w:proofErr w:type="spellStart"/>
      <w:r w:rsidR="002755EC">
        <w:rPr>
          <w:rFonts w:hint="cs"/>
          <w:rtl/>
        </w:rPr>
        <w:t>לנזיקין</w:t>
      </w:r>
      <w:proofErr w:type="spellEnd"/>
      <w:r w:rsidR="002755EC">
        <w:rPr>
          <w:rFonts w:hint="cs"/>
          <w:rtl/>
        </w:rPr>
        <w:t>")</w:t>
      </w:r>
      <w:r>
        <w:rPr>
          <w:rFonts w:hint="cs"/>
          <w:rtl/>
        </w:rPr>
        <w:t xml:space="preserve">. הסיבה לכך מובאת בשולחן ערוך </w:t>
      </w:r>
      <w:r w:rsidR="002755EC">
        <w:rPr>
          <w:rFonts w:hint="cs"/>
          <w:rtl/>
        </w:rPr>
        <w:t xml:space="preserve">(חושן משפט, סימן </w:t>
      </w:r>
      <w:r>
        <w:rPr>
          <w:rFonts w:hint="cs"/>
          <w:rtl/>
        </w:rPr>
        <w:t>קנה</w:t>
      </w:r>
      <w:r w:rsidR="002755EC">
        <w:rPr>
          <w:rFonts w:hint="cs"/>
          <w:rtl/>
        </w:rPr>
        <w:t>, סעיף</w:t>
      </w:r>
      <w:r>
        <w:rPr>
          <w:rFonts w:hint="cs"/>
          <w:rtl/>
        </w:rPr>
        <w:t xml:space="preserve"> לו</w:t>
      </w:r>
      <w:r w:rsidR="002755EC">
        <w:rPr>
          <w:rFonts w:hint="cs"/>
          <w:rtl/>
        </w:rPr>
        <w:t>)</w:t>
      </w:r>
      <w:r>
        <w:rPr>
          <w:rFonts w:hint="cs"/>
          <w:rtl/>
        </w:rPr>
        <w:t>: "</w:t>
      </w:r>
      <w:r w:rsidRPr="001363AF">
        <w:rPr>
          <w:rtl/>
        </w:rPr>
        <w:t>לפי שאין דעתו של אדם סובלת נזיקין אלו, וחזקתו שאינו מוחל, שהזיקו היזק קבוע</w:t>
      </w:r>
      <w:r>
        <w:rPr>
          <w:rFonts w:hint="cs"/>
          <w:rtl/>
        </w:rPr>
        <w:t xml:space="preserve">". </w:t>
      </w:r>
      <w:r w:rsidR="002755EC">
        <w:rPr>
          <w:rFonts w:hint="cs"/>
          <w:rtl/>
        </w:rPr>
        <w:t>בהמשך הדברים שם (</w:t>
      </w:r>
      <w:r>
        <w:rPr>
          <w:rFonts w:hint="cs"/>
          <w:rtl/>
        </w:rPr>
        <w:t>בסעיף לט</w:t>
      </w:r>
      <w:r w:rsidR="002755EC">
        <w:rPr>
          <w:rFonts w:hint="cs"/>
          <w:rtl/>
        </w:rPr>
        <w:t xml:space="preserve">) מפורש כי </w:t>
      </w:r>
      <w:r>
        <w:rPr>
          <w:rFonts w:hint="cs"/>
          <w:rtl/>
        </w:rPr>
        <w:t>אפילו מעשים שאינם מזיקים לרוב בני האדם, אם שכנו הוא "</w:t>
      </w:r>
      <w:r w:rsidRPr="001363AF">
        <w:rPr>
          <w:rtl/>
        </w:rPr>
        <w:t>קפדן או חולה שצפצוף הזה מזיקו</w:t>
      </w:r>
      <w:r>
        <w:rPr>
          <w:rFonts w:hint="cs"/>
          <w:rtl/>
        </w:rPr>
        <w:t xml:space="preserve">... </w:t>
      </w:r>
      <w:r w:rsidRPr="001363AF">
        <w:rPr>
          <w:rtl/>
        </w:rPr>
        <w:t>חייב לבטל אותה המלאכה או ירחיק עד שלא יבא לו נזק מחמתן</w:t>
      </w:r>
      <w:r>
        <w:rPr>
          <w:rFonts w:hint="cs"/>
          <w:rtl/>
        </w:rPr>
        <w:t xml:space="preserve">". קל וחומר בנידון </w:t>
      </w:r>
      <w:proofErr w:type="spellStart"/>
      <w:r>
        <w:rPr>
          <w:rFonts w:hint="cs"/>
          <w:rtl/>
        </w:rPr>
        <w:t>דידן</w:t>
      </w:r>
      <w:proofErr w:type="spellEnd"/>
      <w:r>
        <w:rPr>
          <w:rFonts w:hint="cs"/>
          <w:rtl/>
        </w:rPr>
        <w:t>, שמחקרים רפואיים הוכיחו כי החשיפה לעשן מזיקה לכלל האוכלוס</w:t>
      </w:r>
      <w:r w:rsidR="002755EC">
        <w:rPr>
          <w:rFonts w:hint="cs"/>
          <w:rtl/>
        </w:rPr>
        <w:t>י</w:t>
      </w:r>
      <w:r>
        <w:rPr>
          <w:rFonts w:hint="cs"/>
          <w:rtl/>
        </w:rPr>
        <w:t>יה.</w:t>
      </w:r>
    </w:p>
  </w:endnote>
  <w:endnote w:id="2">
    <w:p w:rsidR="00514C1A" w:rsidRDefault="00514C1A" w:rsidP="002755E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1F3FC6">
        <w:rPr>
          <w:rFonts w:hint="cs"/>
          <w:rtl/>
        </w:rPr>
        <w:t>ראו</w:t>
      </w:r>
      <w:r>
        <w:rPr>
          <w:rFonts w:hint="cs"/>
          <w:rtl/>
        </w:rPr>
        <w:t xml:space="preserve"> </w:t>
      </w:r>
      <w:r w:rsidR="002755EC">
        <w:rPr>
          <w:rFonts w:hint="cs"/>
          <w:rtl/>
        </w:rPr>
        <w:t xml:space="preserve">בתשובת </w:t>
      </w:r>
      <w:proofErr w:type="spellStart"/>
      <w:r w:rsidR="002755EC">
        <w:rPr>
          <w:rFonts w:hint="cs"/>
          <w:rtl/>
        </w:rPr>
        <w:t>הרדב"ז</w:t>
      </w:r>
      <w:proofErr w:type="spellEnd"/>
      <w:r w:rsidR="002755EC">
        <w:rPr>
          <w:rFonts w:hint="cs"/>
          <w:rtl/>
        </w:rPr>
        <w:t xml:space="preserve"> שנשאל </w:t>
      </w:r>
      <w:r>
        <w:rPr>
          <w:rFonts w:hint="cs"/>
          <w:rtl/>
        </w:rPr>
        <w:t>לגבי "</w:t>
      </w:r>
      <w:r w:rsidRPr="00514C1A">
        <w:rPr>
          <w:rtl/>
        </w:rPr>
        <w:t>ראובן ושמעון שהיו דרים בבית אחת</w:t>
      </w:r>
      <w:r>
        <w:rPr>
          <w:rFonts w:hint="cs"/>
          <w:rtl/>
        </w:rPr>
        <w:t>...</w:t>
      </w:r>
      <w:r w:rsidRPr="00514C1A">
        <w:rPr>
          <w:rtl/>
        </w:rPr>
        <w:t xml:space="preserve"> וראובן יש לו בן יונק שדי אמו ושמעון נולד לו בן ורוצה לגדל אותו במיני סמנין הנקרא מחכוך וכל קטן שמריח ריח זה ואינו רגיל בו מקטנותו יבוא לידי סכנה</w:t>
      </w:r>
      <w:r>
        <w:rPr>
          <w:rFonts w:hint="cs"/>
          <w:rtl/>
        </w:rPr>
        <w:t>"</w:t>
      </w:r>
      <w:r w:rsidR="002755EC">
        <w:rPr>
          <w:rFonts w:hint="cs"/>
          <w:rtl/>
        </w:rPr>
        <w:t>;</w:t>
      </w:r>
      <w:r>
        <w:rPr>
          <w:rFonts w:hint="cs"/>
          <w:rtl/>
        </w:rPr>
        <w:t xml:space="preserve"> והשיב: "</w:t>
      </w:r>
      <w:proofErr w:type="spellStart"/>
      <w:r w:rsidRPr="00514C1A">
        <w:rPr>
          <w:rtl/>
        </w:rPr>
        <w:t>דבנ</w:t>
      </w:r>
      <w:r>
        <w:rPr>
          <w:rFonts w:hint="cs"/>
          <w:rtl/>
        </w:rPr>
        <w:t>ידון</w:t>
      </w:r>
      <w:proofErr w:type="spellEnd"/>
      <w:r>
        <w:rPr>
          <w:rFonts w:hint="cs"/>
          <w:rtl/>
        </w:rPr>
        <w:t xml:space="preserve"> </w:t>
      </w:r>
      <w:proofErr w:type="spellStart"/>
      <w:r w:rsidRPr="00514C1A">
        <w:rPr>
          <w:rtl/>
        </w:rPr>
        <w:t>ד</w:t>
      </w:r>
      <w:r>
        <w:rPr>
          <w:rFonts w:hint="cs"/>
          <w:rtl/>
        </w:rPr>
        <w:t>ידן</w:t>
      </w:r>
      <w:proofErr w:type="spellEnd"/>
      <w:r w:rsidRPr="00514C1A">
        <w:rPr>
          <w:rtl/>
        </w:rPr>
        <w:t xml:space="preserve"> על המזיק להרחיק עצמו</w:t>
      </w:r>
      <w:r>
        <w:rPr>
          <w:rFonts w:hint="cs"/>
          <w:rtl/>
        </w:rPr>
        <w:t>...</w:t>
      </w:r>
      <w:r w:rsidRPr="00514C1A">
        <w:rPr>
          <w:rtl/>
        </w:rPr>
        <w:t xml:space="preserve"> דהוי ספק נפשות וראוי לאדם שיתרחק אפי' מספק ספיקא </w:t>
      </w:r>
      <w:proofErr w:type="spellStart"/>
      <w:r w:rsidRPr="00514C1A">
        <w:rPr>
          <w:rtl/>
        </w:rPr>
        <w:t>דידיה</w:t>
      </w:r>
      <w:proofErr w:type="spellEnd"/>
      <w:r>
        <w:rPr>
          <w:rFonts w:hint="cs"/>
          <w:rtl/>
        </w:rPr>
        <w:t>"</w:t>
      </w:r>
      <w:r w:rsidR="002755EC">
        <w:rPr>
          <w:rFonts w:hint="cs"/>
          <w:rtl/>
        </w:rPr>
        <w:t xml:space="preserve"> (שו"ת </w:t>
      </w:r>
      <w:proofErr w:type="spellStart"/>
      <w:r w:rsidR="002755EC">
        <w:rPr>
          <w:rFonts w:hint="cs"/>
          <w:rtl/>
        </w:rPr>
        <w:t>הרדב"ז</w:t>
      </w:r>
      <w:proofErr w:type="spellEnd"/>
      <w:r w:rsidR="002755EC">
        <w:rPr>
          <w:rFonts w:hint="cs"/>
          <w:rtl/>
        </w:rPr>
        <w:t>, חלק א, סימן תקנא)</w:t>
      </w:r>
      <w:r>
        <w:rPr>
          <w:rFonts w:hint="cs"/>
          <w:rtl/>
        </w:rPr>
        <w:t>.</w:t>
      </w:r>
    </w:p>
  </w:endnote>
  <w:endnote w:id="3">
    <w:p w:rsidR="001363AF" w:rsidRDefault="001363AF" w:rsidP="002755EC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2755EC">
        <w:rPr>
          <w:rFonts w:hint="cs"/>
          <w:rtl/>
        </w:rPr>
        <w:t xml:space="preserve">ראו בבא </w:t>
      </w:r>
      <w:proofErr w:type="spellStart"/>
      <w:r>
        <w:rPr>
          <w:rFonts w:hint="cs"/>
          <w:rtl/>
        </w:rPr>
        <w:t>ב</w:t>
      </w:r>
      <w:r w:rsidR="002755EC">
        <w:rPr>
          <w:rFonts w:hint="cs"/>
          <w:rtl/>
        </w:rPr>
        <w:t>תרא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כב</w:t>
      </w:r>
      <w:proofErr w:type="spellEnd"/>
      <w:r>
        <w:rPr>
          <w:rFonts w:hint="cs"/>
          <w:rtl/>
        </w:rPr>
        <w:t xml:space="preserve"> ע"ב: "מודה </w:t>
      </w:r>
      <w:bookmarkStart w:id="0" w:name="_GoBack"/>
      <w:bookmarkEnd w:id="0"/>
      <w:r>
        <w:rPr>
          <w:rFonts w:hint="cs"/>
          <w:rtl/>
        </w:rPr>
        <w:t xml:space="preserve">רבי יוסי </w:t>
      </w:r>
      <w:r w:rsidR="002755EC">
        <w:rPr>
          <w:rFonts w:hint="cs"/>
          <w:rtl/>
        </w:rPr>
        <w:t xml:space="preserve">בגירי </w:t>
      </w:r>
      <w:proofErr w:type="spellStart"/>
      <w:r w:rsidR="002755EC">
        <w:rPr>
          <w:rFonts w:hint="cs"/>
          <w:rtl/>
        </w:rPr>
        <w:t>דיליה</w:t>
      </w:r>
      <w:proofErr w:type="spellEnd"/>
      <w:r w:rsidR="002755EC">
        <w:rPr>
          <w:rFonts w:hint="cs"/>
          <w:rtl/>
        </w:rPr>
        <w:t xml:space="preserve"> [=בחיציו שלו]"; כלומר גם ר'</w:t>
      </w:r>
      <w:r w:rsidR="00DF6FE3">
        <w:rPr>
          <w:rFonts w:hint="cs"/>
          <w:rtl/>
        </w:rPr>
        <w:t xml:space="preserve"> יוסי, הסבור שבדרך כלל בנזקי שכנים אנו מטילים את חובת ההרחקה על הניזק, מודה כי במקרים </w:t>
      </w:r>
      <w:r w:rsidR="002755EC">
        <w:rPr>
          <w:rFonts w:hint="cs"/>
          <w:rtl/>
        </w:rPr>
        <w:t>ש</w:t>
      </w:r>
      <w:r w:rsidR="00DF6FE3">
        <w:rPr>
          <w:rFonts w:hint="cs"/>
          <w:rtl/>
        </w:rPr>
        <w:t xml:space="preserve">בהם מעשה הנזק הוא כעין יריית חץ </w:t>
      </w:r>
      <w:r w:rsidR="00DF6FE3">
        <w:rPr>
          <w:rtl/>
        </w:rPr>
        <w:t>–</w:t>
      </w:r>
      <w:r w:rsidR="0089540F">
        <w:rPr>
          <w:rFonts w:hint="cs"/>
          <w:rtl/>
        </w:rPr>
        <w:t xml:space="preserve"> </w:t>
      </w:r>
      <w:r w:rsidR="002755EC">
        <w:rPr>
          <w:rFonts w:hint="cs"/>
          <w:rtl/>
        </w:rPr>
        <w:t xml:space="preserve">דהיינו </w:t>
      </w:r>
      <w:r w:rsidR="00DF6FE3">
        <w:rPr>
          <w:rFonts w:hint="cs"/>
          <w:rtl/>
        </w:rPr>
        <w:t xml:space="preserve">מעשה המזיק באופן ישיר </w:t>
      </w:r>
      <w:r w:rsidR="00DF6FE3">
        <w:rPr>
          <w:rtl/>
        </w:rPr>
        <w:t>–</w:t>
      </w:r>
      <w:r w:rsidR="00DF6FE3">
        <w:rPr>
          <w:rFonts w:hint="cs"/>
          <w:rtl/>
        </w:rPr>
        <w:t xml:space="preserve"> חובת ההרחקה מוטלת על המזיק.</w:t>
      </w:r>
    </w:p>
  </w:endnote>
  <w:endnote w:id="4">
    <w:p w:rsidR="00DF6FE3" w:rsidRDefault="00DF6FE3" w:rsidP="00D06EA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2755EC">
        <w:rPr>
          <w:rFonts w:hint="cs"/>
          <w:rtl/>
        </w:rPr>
        <w:t xml:space="preserve">כלשונו של ר' משה </w:t>
      </w:r>
      <w:proofErr w:type="spellStart"/>
      <w:r w:rsidR="002755EC">
        <w:rPr>
          <w:rFonts w:hint="cs"/>
          <w:rtl/>
        </w:rPr>
        <w:t>פיינשטיין</w:t>
      </w:r>
      <w:proofErr w:type="spellEnd"/>
      <w:r w:rsidR="002755EC">
        <w:rPr>
          <w:rFonts w:hint="cs"/>
          <w:rtl/>
        </w:rPr>
        <w:t xml:space="preserve">: </w:t>
      </w:r>
      <w:r>
        <w:rPr>
          <w:rFonts w:hint="cs"/>
          <w:rtl/>
        </w:rPr>
        <w:t>"</w:t>
      </w:r>
      <w:proofErr w:type="spellStart"/>
      <w:r w:rsidRPr="00DF6FE3">
        <w:rPr>
          <w:rtl/>
        </w:rPr>
        <w:t>דהא</w:t>
      </w:r>
      <w:proofErr w:type="spellEnd"/>
      <w:r w:rsidRPr="00DF6FE3">
        <w:rPr>
          <w:rtl/>
        </w:rPr>
        <w:t xml:space="preserve"> </w:t>
      </w:r>
      <w:proofErr w:type="spellStart"/>
      <w:r w:rsidRPr="00DF6FE3">
        <w:rPr>
          <w:rtl/>
        </w:rPr>
        <w:t>המעשנין</w:t>
      </w:r>
      <w:proofErr w:type="spellEnd"/>
      <w:r w:rsidRPr="00DF6FE3">
        <w:rPr>
          <w:rtl/>
        </w:rPr>
        <w:t xml:space="preserve"> </w:t>
      </w:r>
      <w:proofErr w:type="spellStart"/>
      <w:r w:rsidRPr="00DF6FE3">
        <w:rPr>
          <w:rtl/>
        </w:rPr>
        <w:t>עושין</w:t>
      </w:r>
      <w:proofErr w:type="spellEnd"/>
      <w:r w:rsidRPr="00DF6FE3">
        <w:rPr>
          <w:rtl/>
        </w:rPr>
        <w:t xml:space="preserve"> מעשה מזיק </w:t>
      </w:r>
      <w:proofErr w:type="spellStart"/>
      <w:r w:rsidRPr="00DF6FE3">
        <w:rPr>
          <w:rtl/>
        </w:rPr>
        <w:t>בידים</w:t>
      </w:r>
      <w:proofErr w:type="spellEnd"/>
      <w:r w:rsidRPr="00DF6FE3">
        <w:rPr>
          <w:rtl/>
        </w:rPr>
        <w:t xml:space="preserve"> ממש דהרי </w:t>
      </w:r>
      <w:proofErr w:type="spellStart"/>
      <w:r w:rsidRPr="00DF6FE3">
        <w:rPr>
          <w:rtl/>
        </w:rPr>
        <w:t>עושין</w:t>
      </w:r>
      <w:proofErr w:type="spellEnd"/>
      <w:r w:rsidRPr="00DF6FE3">
        <w:rPr>
          <w:rtl/>
        </w:rPr>
        <w:t xml:space="preserve"> בפיהם עשן המזיק </w:t>
      </w:r>
      <w:proofErr w:type="spellStart"/>
      <w:r w:rsidRPr="00DF6FE3">
        <w:rPr>
          <w:rtl/>
        </w:rPr>
        <w:t>להאין</w:t>
      </w:r>
      <w:proofErr w:type="spellEnd"/>
      <w:r w:rsidRPr="00DF6FE3">
        <w:rPr>
          <w:rtl/>
        </w:rPr>
        <w:t xml:space="preserve"> </w:t>
      </w:r>
      <w:proofErr w:type="spellStart"/>
      <w:r w:rsidRPr="00DF6FE3">
        <w:rPr>
          <w:rtl/>
        </w:rPr>
        <w:t>מעשנין</w:t>
      </w:r>
      <w:proofErr w:type="spellEnd"/>
      <w:r w:rsidRPr="00DF6FE3">
        <w:rPr>
          <w:rtl/>
        </w:rPr>
        <w:t xml:space="preserve"> הנמצאים שם</w:t>
      </w:r>
      <w:r>
        <w:rPr>
          <w:rFonts w:hint="cs"/>
          <w:rtl/>
        </w:rPr>
        <w:t>" (</w:t>
      </w:r>
      <w:r w:rsidR="00D06EA4">
        <w:rPr>
          <w:rFonts w:hint="cs"/>
          <w:rtl/>
        </w:rPr>
        <w:t xml:space="preserve">שו"ת אגרות משה, </w:t>
      </w:r>
      <w:r>
        <w:rPr>
          <w:rFonts w:hint="cs"/>
          <w:rtl/>
        </w:rPr>
        <w:t>חו</w:t>
      </w:r>
      <w:r w:rsidR="00D06EA4">
        <w:rPr>
          <w:rFonts w:hint="cs"/>
          <w:rtl/>
        </w:rPr>
        <w:t xml:space="preserve">שן משפט, חלק </w:t>
      </w:r>
      <w:r>
        <w:rPr>
          <w:rFonts w:hint="cs"/>
          <w:rtl/>
        </w:rPr>
        <w:t>ב,</w:t>
      </w:r>
      <w:r w:rsidR="00D06EA4"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)</w:t>
      </w:r>
      <w:r w:rsidR="00D06EA4">
        <w:rPr>
          <w:rFonts w:hint="cs"/>
          <w:rtl/>
        </w:rPr>
        <w:t>.</w:t>
      </w:r>
      <w:r w:rsidR="004F4799" w:rsidRPr="004F4799">
        <w:rPr>
          <w:rtl/>
        </w:rPr>
        <w:t xml:space="preserve"> אמנם, עיקר הנזקים הבאים כתוצאה מחשיפה לעישון הינם נזקים מצטברים, אשר יבואו לידי ביטוי רק לאחר זמן חשיפה ניכר; אך בנזקי שכנים אנו מונים גם נזק מצטבר כנזק המחייב הרחקה, כגון נזקי הלחות למיניהם (בבא </w:t>
      </w:r>
      <w:proofErr w:type="spellStart"/>
      <w:r w:rsidR="004F4799" w:rsidRPr="004F4799">
        <w:rPr>
          <w:rtl/>
        </w:rPr>
        <w:t>בתרא</w:t>
      </w:r>
      <w:proofErr w:type="spellEnd"/>
      <w:r w:rsidR="004F4799" w:rsidRPr="004F4799">
        <w:rPr>
          <w:rtl/>
        </w:rPr>
        <w:t xml:space="preserve"> </w:t>
      </w:r>
      <w:proofErr w:type="spellStart"/>
      <w:r w:rsidR="004F4799" w:rsidRPr="004F4799">
        <w:rPr>
          <w:rtl/>
        </w:rPr>
        <w:t>יח</w:t>
      </w:r>
      <w:proofErr w:type="spellEnd"/>
      <w:r w:rsidR="004F4799" w:rsidRPr="004F4799">
        <w:rPr>
          <w:rtl/>
        </w:rPr>
        <w:t xml:space="preserve"> ע"א) או נדנוד הקרקע הגורם לכתלים ליפול (שם כה ע"ב-</w:t>
      </w:r>
      <w:proofErr w:type="spellStart"/>
      <w:r w:rsidR="004F4799" w:rsidRPr="004F4799">
        <w:rPr>
          <w:rtl/>
        </w:rPr>
        <w:t>כו</w:t>
      </w:r>
      <w:proofErr w:type="spellEnd"/>
      <w:r w:rsidR="004F4799" w:rsidRPr="004F4799">
        <w:rPr>
          <w:rtl/>
        </w:rPr>
        <w:t xml:space="preserve"> ע"א) . בנוסף, עישון מהווה גם נזק </w:t>
      </w:r>
      <w:proofErr w:type="spellStart"/>
      <w:r w:rsidR="004F4799" w:rsidRPr="004F4799">
        <w:rPr>
          <w:rtl/>
        </w:rPr>
        <w:t>מיידי</w:t>
      </w:r>
      <w:proofErr w:type="spellEnd"/>
      <w:r w:rsidR="004F4799" w:rsidRPr="004F4799">
        <w:rPr>
          <w:rtl/>
        </w:rPr>
        <w:t xml:space="preserve"> מבחינת הריח וקשיי הנשימה לאלו הרגישים לכך.</w:t>
      </w:r>
    </w:p>
  </w:endnote>
  <w:endnote w:id="5">
    <w:p w:rsidR="00514C1A" w:rsidRDefault="00514C1A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הגהות </w:t>
      </w:r>
      <w:proofErr w:type="spellStart"/>
      <w:r>
        <w:rPr>
          <w:rFonts w:hint="cs"/>
          <w:rtl/>
        </w:rPr>
        <w:t>מיימוניות</w:t>
      </w:r>
      <w:proofErr w:type="spellEnd"/>
      <w:r>
        <w:rPr>
          <w:rFonts w:hint="cs"/>
          <w:rtl/>
        </w:rPr>
        <w:t xml:space="preserve">, הלכות שכנים, פרק י סימן ד. </w:t>
      </w:r>
    </w:p>
  </w:endnote>
  <w:endnote w:id="6">
    <w:p w:rsidR="00195515" w:rsidRDefault="00195515" w:rsidP="00D06EA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D06EA4">
        <w:rPr>
          <w:rFonts w:hint="cs"/>
          <w:rtl/>
        </w:rPr>
        <w:t>ראו דברי</w:t>
      </w:r>
      <w:r>
        <w:rPr>
          <w:rFonts w:hint="cs"/>
          <w:rtl/>
        </w:rPr>
        <w:t xml:space="preserve"> הפוסקים המוזכרים בפניני הלכה, ליקוטים ב, פרק ט</w:t>
      </w:r>
      <w:r w:rsidR="00D06EA4">
        <w:rPr>
          <w:rFonts w:hint="cs"/>
          <w:rtl/>
        </w:rPr>
        <w:t>,</w:t>
      </w:r>
      <w:r>
        <w:rPr>
          <w:rFonts w:hint="cs"/>
          <w:rtl/>
        </w:rPr>
        <w:t xml:space="preserve"> סעיף ח.</w:t>
      </w:r>
    </w:p>
  </w:endnote>
  <w:endnote w:id="7">
    <w:p w:rsidR="00514C1A" w:rsidRDefault="00514C1A" w:rsidP="00D06EA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D06EA4">
        <w:rPr>
          <w:rFonts w:hint="cs"/>
          <w:rtl/>
        </w:rPr>
        <w:t xml:space="preserve">ראו תשובת </w:t>
      </w:r>
      <w:proofErr w:type="spellStart"/>
      <w:r w:rsidR="00D06EA4">
        <w:rPr>
          <w:rFonts w:hint="cs"/>
          <w:rtl/>
        </w:rPr>
        <w:t>הרדב"ז</w:t>
      </w:r>
      <w:proofErr w:type="spellEnd"/>
      <w:r w:rsidR="00D06EA4">
        <w:rPr>
          <w:rFonts w:hint="cs"/>
          <w:rtl/>
        </w:rPr>
        <w:t xml:space="preserve">, לעיל הערה </w:t>
      </w:r>
      <w:r>
        <w:rPr>
          <w:rFonts w:hint="cs"/>
          <w:rtl/>
        </w:rPr>
        <w:t>5.</w:t>
      </w:r>
    </w:p>
  </w:endnote>
  <w:endnote w:id="8">
    <w:p w:rsidR="00DF6FE3" w:rsidRDefault="00DF6FE3" w:rsidP="00D06EA4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D06EA4">
        <w:rPr>
          <w:rFonts w:hint="cs"/>
          <w:rtl/>
        </w:rPr>
        <w:t xml:space="preserve">ראו: שו"ת אגרות משה, </w:t>
      </w:r>
      <w:r w:rsidR="00195515">
        <w:rPr>
          <w:rFonts w:hint="cs"/>
          <w:rtl/>
        </w:rPr>
        <w:t xml:space="preserve">לעיל </w:t>
      </w:r>
      <w:r>
        <w:rPr>
          <w:rFonts w:hint="cs"/>
          <w:rtl/>
        </w:rPr>
        <w:t xml:space="preserve">הערה </w:t>
      </w:r>
      <w:r w:rsidR="00D64BBA">
        <w:rPr>
          <w:rFonts w:hint="cs"/>
          <w:rtl/>
        </w:rPr>
        <w:t>4</w:t>
      </w:r>
      <w:r w:rsidR="00D06EA4">
        <w:rPr>
          <w:rFonts w:hint="cs"/>
          <w:rtl/>
        </w:rPr>
        <w:t>;</w:t>
      </w:r>
      <w:r>
        <w:rPr>
          <w:rFonts w:hint="cs"/>
          <w:rtl/>
        </w:rPr>
        <w:t xml:space="preserve"> שו"ת שבט הלוי</w:t>
      </w:r>
      <w:r w:rsidR="00D06EA4">
        <w:rPr>
          <w:rFonts w:hint="cs"/>
          <w:rtl/>
        </w:rPr>
        <w:t>, חלק</w:t>
      </w:r>
      <w:r>
        <w:rPr>
          <w:rFonts w:hint="cs"/>
          <w:rtl/>
        </w:rPr>
        <w:t xml:space="preserve"> י, </w:t>
      </w:r>
      <w:r w:rsidR="00D06EA4">
        <w:rPr>
          <w:rFonts w:hint="cs"/>
          <w:rtl/>
        </w:rPr>
        <w:t>סימן רצה;</w:t>
      </w:r>
      <w:r>
        <w:rPr>
          <w:rFonts w:hint="cs"/>
          <w:rtl/>
        </w:rPr>
        <w:t xml:space="preserve"> </w:t>
      </w:r>
      <w:r w:rsidR="00514C1A">
        <w:rPr>
          <w:rFonts w:hint="cs"/>
          <w:rtl/>
        </w:rPr>
        <w:t>פניני הלכה, ליקוטים ב, פרק ט</w:t>
      </w:r>
      <w:r w:rsidR="00D06EA4">
        <w:rPr>
          <w:rFonts w:hint="cs"/>
          <w:rtl/>
        </w:rPr>
        <w:t>, סעיף י;</w:t>
      </w:r>
      <w:r w:rsidR="00514C1A">
        <w:rPr>
          <w:rFonts w:hint="cs"/>
          <w:rtl/>
        </w:rPr>
        <w:t xml:space="preserve"> </w:t>
      </w:r>
      <w:r w:rsidR="00D06EA4">
        <w:rPr>
          <w:rFonts w:hint="cs"/>
          <w:rtl/>
        </w:rPr>
        <w:t>וראו</w:t>
      </w:r>
      <w:r>
        <w:rPr>
          <w:rFonts w:hint="cs"/>
          <w:rtl/>
        </w:rPr>
        <w:t xml:space="preserve"> באריכות במאמרו של הרב מרדכי הלפרין, "</w:t>
      </w:r>
      <w:r w:rsidRPr="00DF6FE3">
        <w:rPr>
          <w:rtl/>
        </w:rPr>
        <w:t>העישון</w:t>
      </w:r>
      <w:r w:rsidR="00D06EA4">
        <w:rPr>
          <w:rFonts w:hint="cs"/>
          <w:rtl/>
        </w:rPr>
        <w:t>:</w:t>
      </w:r>
      <w:r w:rsidRPr="00DF6FE3">
        <w:rPr>
          <w:rtl/>
        </w:rPr>
        <w:t xml:space="preserve"> סקירה הלכתית</w:t>
      </w:r>
      <w:r w:rsidR="00D06EA4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D06EA4">
        <w:rPr>
          <w:rFonts w:hint="cs"/>
          <w:rtl/>
        </w:rPr>
        <w:t xml:space="preserve">(זמין </w:t>
      </w:r>
      <w:r>
        <w:rPr>
          <w:rFonts w:hint="cs"/>
          <w:rtl/>
        </w:rPr>
        <w:t>במרשתת</w:t>
      </w:r>
      <w:r w:rsidR="00D06EA4">
        <w:rPr>
          <w:rFonts w:hint="cs"/>
          <w:rtl/>
        </w:rPr>
        <w:t>)</w:t>
      </w:r>
      <w:r>
        <w:rPr>
          <w:rFonts w:hint="cs"/>
          <w:rtl/>
        </w:rPr>
        <w:t>.</w:t>
      </w:r>
    </w:p>
  </w:endnote>
  <w:endnote w:id="9">
    <w:p w:rsidR="00195515" w:rsidRPr="00195515" w:rsidRDefault="00195515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D06EA4">
        <w:rPr>
          <w:rFonts w:hint="cs"/>
          <w:rtl/>
        </w:rPr>
        <w:t>ראו</w:t>
      </w:r>
      <w:r>
        <w:rPr>
          <w:rFonts w:hint="cs"/>
          <w:rtl/>
        </w:rPr>
        <w:t xml:space="preserve"> בבא </w:t>
      </w:r>
      <w:proofErr w:type="spellStart"/>
      <w:r>
        <w:rPr>
          <w:rFonts w:hint="cs"/>
          <w:rtl/>
        </w:rPr>
        <w:t>בתרא</w:t>
      </w:r>
      <w:proofErr w:type="spellEnd"/>
      <w:r>
        <w:rPr>
          <w:rFonts w:hint="cs"/>
          <w:rtl/>
        </w:rPr>
        <w:t xml:space="preserve"> ח ע"ב: "</w:t>
      </w:r>
      <w:proofErr w:type="spellStart"/>
      <w:r w:rsidRPr="00195515">
        <w:rPr>
          <w:rtl/>
        </w:rPr>
        <w:t>רשאין</w:t>
      </w:r>
      <w:proofErr w:type="spellEnd"/>
      <w:r w:rsidRPr="00195515">
        <w:rPr>
          <w:rtl/>
        </w:rPr>
        <w:t xml:space="preserve"> בני העיר להתנות על </w:t>
      </w:r>
      <w:proofErr w:type="spellStart"/>
      <w:r w:rsidRPr="00195515">
        <w:rPr>
          <w:rtl/>
        </w:rPr>
        <w:t>המדות</w:t>
      </w:r>
      <w:proofErr w:type="spellEnd"/>
      <w:r w:rsidRPr="00195515">
        <w:rPr>
          <w:rtl/>
        </w:rPr>
        <w:t xml:space="preserve"> ועל השערים ועל שכר פועלים ולהסיע על קיצתן</w:t>
      </w:r>
      <w:r>
        <w:rPr>
          <w:rFonts w:hint="cs"/>
          <w:rtl/>
        </w:rPr>
        <w:t>".</w:t>
      </w:r>
    </w:p>
  </w:endnote>
  <w:endnote w:id="10">
    <w:p w:rsidR="00195515" w:rsidRDefault="00195515" w:rsidP="00D06EA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D06EA4">
        <w:rPr>
          <w:rFonts w:hint="cs"/>
          <w:rtl/>
        </w:rPr>
        <w:t>ראו</w:t>
      </w:r>
      <w:r>
        <w:rPr>
          <w:rFonts w:hint="cs"/>
          <w:rtl/>
        </w:rPr>
        <w:t xml:space="preserve"> בדברי ה</w:t>
      </w:r>
      <w:r w:rsidR="00D06EA4">
        <w:rPr>
          <w:rFonts w:hint="cs"/>
          <w:rtl/>
        </w:rPr>
        <w:t xml:space="preserve">רב </w:t>
      </w:r>
      <w:proofErr w:type="spellStart"/>
      <w:r w:rsidR="00D06EA4">
        <w:rPr>
          <w:rFonts w:hint="cs"/>
          <w:rtl/>
        </w:rPr>
        <w:t>פיינשטיין</w:t>
      </w:r>
      <w:proofErr w:type="spellEnd"/>
      <w:r w:rsidR="00D06EA4">
        <w:rPr>
          <w:rFonts w:hint="cs"/>
          <w:rtl/>
        </w:rPr>
        <w:t xml:space="preserve"> (לעיל הערה </w:t>
      </w:r>
      <w:r w:rsidR="00B857C5">
        <w:rPr>
          <w:rFonts w:hint="cs"/>
          <w:rtl/>
        </w:rPr>
        <w:t>4</w:t>
      </w:r>
      <w:r w:rsidR="00D06EA4">
        <w:rPr>
          <w:rFonts w:hint="cs"/>
          <w:rtl/>
        </w:rPr>
        <w:t>)</w:t>
      </w:r>
      <w:r>
        <w:rPr>
          <w:rFonts w:hint="cs"/>
          <w:rtl/>
        </w:rPr>
        <w:t>: "</w:t>
      </w:r>
      <w:r w:rsidRPr="00195515">
        <w:rPr>
          <w:rtl/>
        </w:rPr>
        <w:t xml:space="preserve"> </w:t>
      </w:r>
      <w:bookmarkStart w:id="1" w:name="_Hlk532689175"/>
      <w:r w:rsidRPr="00195515">
        <w:rPr>
          <w:rtl/>
        </w:rPr>
        <w:t>ופשוט שאם היו ב</w:t>
      </w:r>
      <w:r w:rsidR="007D5E44">
        <w:rPr>
          <w:rFonts w:hint="cs"/>
          <w:rtl/>
        </w:rPr>
        <w:t xml:space="preserve">ית </w:t>
      </w:r>
      <w:r w:rsidRPr="00195515">
        <w:rPr>
          <w:rtl/>
        </w:rPr>
        <w:t>ד</w:t>
      </w:r>
      <w:r w:rsidR="007D5E44">
        <w:rPr>
          <w:rFonts w:hint="cs"/>
          <w:rtl/>
        </w:rPr>
        <w:t>ין</w:t>
      </w:r>
      <w:r w:rsidRPr="00195515">
        <w:rPr>
          <w:rtl/>
        </w:rPr>
        <w:t xml:space="preserve"> </w:t>
      </w:r>
      <w:proofErr w:type="spellStart"/>
      <w:r w:rsidRPr="00195515">
        <w:rPr>
          <w:rtl/>
        </w:rPr>
        <w:t>סמוכין</w:t>
      </w:r>
      <w:proofErr w:type="spellEnd"/>
      <w:r w:rsidRPr="00195515">
        <w:rPr>
          <w:rtl/>
        </w:rPr>
        <w:t xml:space="preserve"> </w:t>
      </w:r>
      <w:proofErr w:type="spellStart"/>
      <w:r w:rsidRPr="00195515">
        <w:rPr>
          <w:rtl/>
        </w:rPr>
        <w:t>דדנין</w:t>
      </w:r>
      <w:proofErr w:type="spellEnd"/>
      <w:r w:rsidRPr="00195515">
        <w:rPr>
          <w:rtl/>
        </w:rPr>
        <w:t xml:space="preserve"> דיני חבלות היו </w:t>
      </w:r>
      <w:proofErr w:type="spellStart"/>
      <w:r w:rsidRPr="00195515">
        <w:rPr>
          <w:rtl/>
        </w:rPr>
        <w:t>גובין</w:t>
      </w:r>
      <w:proofErr w:type="spellEnd"/>
      <w:r w:rsidRPr="00195515">
        <w:rPr>
          <w:rtl/>
        </w:rPr>
        <w:t xml:space="preserve"> גם ממון דמי שומת הצער ואם נחלה מזה דמי ריפוי </w:t>
      </w:r>
      <w:bookmarkEnd w:id="1"/>
      <w:r w:rsidRPr="00195515">
        <w:rPr>
          <w:rtl/>
        </w:rPr>
        <w:t xml:space="preserve">אף </w:t>
      </w:r>
      <w:proofErr w:type="spellStart"/>
      <w:r w:rsidRPr="00195515">
        <w:rPr>
          <w:rtl/>
        </w:rPr>
        <w:t>כשליכא</w:t>
      </w:r>
      <w:proofErr w:type="spellEnd"/>
      <w:r w:rsidRPr="00195515">
        <w:rPr>
          <w:rtl/>
        </w:rPr>
        <w:t xml:space="preserve"> נזק שלא בטל ממלאכתו מצד החולי</w:t>
      </w:r>
      <w:r>
        <w:rPr>
          <w:rFonts w:hint="cs"/>
          <w:rtl/>
        </w:rPr>
        <w:t>...</w:t>
      </w:r>
      <w:r w:rsidRPr="00195515">
        <w:rPr>
          <w:rtl/>
        </w:rPr>
        <w:t xml:space="preserve"> אף על גב דלא </w:t>
      </w:r>
      <w:proofErr w:type="spellStart"/>
      <w:r w:rsidRPr="00195515">
        <w:rPr>
          <w:rtl/>
        </w:rPr>
        <w:t>דיינינן</w:t>
      </w:r>
      <w:proofErr w:type="spellEnd"/>
      <w:r w:rsidRPr="00195515">
        <w:rPr>
          <w:rtl/>
        </w:rPr>
        <w:t xml:space="preserve"> ליה בז</w:t>
      </w:r>
      <w:r w:rsidR="007D5E44">
        <w:rPr>
          <w:rFonts w:hint="cs"/>
          <w:rtl/>
        </w:rPr>
        <w:t xml:space="preserve">מן </w:t>
      </w:r>
      <w:r w:rsidRPr="00195515">
        <w:rPr>
          <w:rtl/>
        </w:rPr>
        <w:t>הז</w:t>
      </w:r>
      <w:r w:rsidR="007D5E44">
        <w:rPr>
          <w:rFonts w:hint="cs"/>
          <w:rtl/>
        </w:rPr>
        <w:t>ה</w:t>
      </w:r>
      <w:r w:rsidRPr="00195515">
        <w:rPr>
          <w:rtl/>
        </w:rPr>
        <w:t xml:space="preserve"> כיון דלא שכיחי ולית בהו חסרון כיס</w:t>
      </w:r>
      <w:r w:rsidR="007D5E44">
        <w:rPr>
          <w:rFonts w:hint="cs"/>
          <w:rtl/>
        </w:rPr>
        <w:t>,</w:t>
      </w:r>
      <w:r w:rsidRPr="00195515">
        <w:rPr>
          <w:rtl/>
        </w:rPr>
        <w:t xml:space="preserve"> מ</w:t>
      </w:r>
      <w:r w:rsidR="007D5E44">
        <w:rPr>
          <w:rFonts w:hint="cs"/>
          <w:rtl/>
        </w:rPr>
        <w:t xml:space="preserve">כל </w:t>
      </w:r>
      <w:r w:rsidRPr="00195515">
        <w:rPr>
          <w:rtl/>
        </w:rPr>
        <w:t>מ</w:t>
      </w:r>
      <w:r w:rsidR="007D5E44">
        <w:rPr>
          <w:rFonts w:hint="cs"/>
          <w:rtl/>
        </w:rPr>
        <w:t>קום</w:t>
      </w:r>
      <w:r w:rsidRPr="00195515">
        <w:rPr>
          <w:rtl/>
        </w:rPr>
        <w:t xml:space="preserve"> לצאת ידי שמים הוא בעצמו צריך לשלם וגזלן הוא אם אינו משלם</w:t>
      </w:r>
      <w:r>
        <w:rPr>
          <w:rFonts w:hint="cs"/>
          <w:rtl/>
        </w:rPr>
        <w:t>"</w:t>
      </w:r>
      <w:r w:rsidR="007D5E44"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9D0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B67482" w:rsidRPr="00E55679" w:rsidRDefault="007D1853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853" w:rsidRDefault="007D1853">
      <w:r>
        <w:separator/>
      </w:r>
    </w:p>
  </w:footnote>
  <w:footnote w:type="continuationSeparator" w:id="0">
    <w:p w:rsidR="007D1853" w:rsidRDefault="007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631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843"/>
    <w:multiLevelType w:val="hybridMultilevel"/>
    <w:tmpl w:val="C930B440"/>
    <w:lvl w:ilvl="0" w:tplc="AF5CFA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7E8E"/>
    <w:multiLevelType w:val="hybridMultilevel"/>
    <w:tmpl w:val="04B87276"/>
    <w:lvl w:ilvl="0" w:tplc="2D52EE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9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1F51EE"/>
    <w:multiLevelType w:val="hybridMultilevel"/>
    <w:tmpl w:val="BE4C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0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0F0444"/>
    <w:multiLevelType w:val="hybridMultilevel"/>
    <w:tmpl w:val="E618D088"/>
    <w:lvl w:ilvl="0" w:tplc="772A2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17B03"/>
    <w:multiLevelType w:val="hybridMultilevel"/>
    <w:tmpl w:val="2E68C600"/>
    <w:lvl w:ilvl="0" w:tplc="83EE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0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30"/>
  </w:num>
  <w:num w:numId="2">
    <w:abstractNumId w:val="15"/>
  </w:num>
  <w:num w:numId="3">
    <w:abstractNumId w:val="18"/>
  </w:num>
  <w:num w:numId="4">
    <w:abstractNumId w:val="21"/>
  </w:num>
  <w:num w:numId="5">
    <w:abstractNumId w:val="3"/>
  </w:num>
  <w:num w:numId="6">
    <w:abstractNumId w:val="20"/>
  </w:num>
  <w:num w:numId="7">
    <w:abstractNumId w:val="2"/>
  </w:num>
  <w:num w:numId="8">
    <w:abstractNumId w:val="26"/>
  </w:num>
  <w:num w:numId="9">
    <w:abstractNumId w:val="4"/>
  </w:num>
  <w:num w:numId="10">
    <w:abstractNumId w:val="27"/>
  </w:num>
  <w:num w:numId="11">
    <w:abstractNumId w:val="33"/>
  </w:num>
  <w:num w:numId="12">
    <w:abstractNumId w:val="16"/>
  </w:num>
  <w:num w:numId="13">
    <w:abstractNumId w:val="37"/>
  </w:num>
  <w:num w:numId="14">
    <w:abstractNumId w:val="31"/>
  </w:num>
  <w:num w:numId="15">
    <w:abstractNumId w:val="12"/>
  </w:num>
  <w:num w:numId="16">
    <w:abstractNumId w:val="9"/>
  </w:num>
  <w:num w:numId="17">
    <w:abstractNumId w:val="22"/>
  </w:num>
  <w:num w:numId="18">
    <w:abstractNumId w:val="24"/>
  </w:num>
  <w:num w:numId="19">
    <w:abstractNumId w:val="19"/>
  </w:num>
  <w:num w:numId="20">
    <w:abstractNumId w:val="6"/>
  </w:num>
  <w:num w:numId="21">
    <w:abstractNumId w:val="11"/>
  </w:num>
  <w:num w:numId="22">
    <w:abstractNumId w:val="5"/>
  </w:num>
  <w:num w:numId="23">
    <w:abstractNumId w:val="32"/>
  </w:num>
  <w:num w:numId="24">
    <w:abstractNumId w:val="23"/>
  </w:num>
  <w:num w:numId="25">
    <w:abstractNumId w:val="17"/>
  </w:num>
  <w:num w:numId="26">
    <w:abstractNumId w:val="28"/>
  </w:num>
  <w:num w:numId="27">
    <w:abstractNumId w:val="10"/>
  </w:num>
  <w:num w:numId="28">
    <w:abstractNumId w:val="38"/>
  </w:num>
  <w:num w:numId="29">
    <w:abstractNumId w:val="13"/>
  </w:num>
  <w:num w:numId="30">
    <w:abstractNumId w:val="39"/>
  </w:num>
  <w:num w:numId="31">
    <w:abstractNumId w:val="36"/>
  </w:num>
  <w:num w:numId="32">
    <w:abstractNumId w:val="1"/>
  </w:num>
  <w:num w:numId="33">
    <w:abstractNumId w:val="8"/>
  </w:num>
  <w:num w:numId="34">
    <w:abstractNumId w:val="29"/>
  </w:num>
  <w:num w:numId="35">
    <w:abstractNumId w:val="14"/>
  </w:num>
  <w:num w:numId="36">
    <w:abstractNumId w:val="40"/>
  </w:num>
  <w:num w:numId="37">
    <w:abstractNumId w:val="7"/>
  </w:num>
  <w:num w:numId="38">
    <w:abstractNumId w:val="25"/>
  </w:num>
  <w:num w:numId="39">
    <w:abstractNumId w:val="0"/>
  </w:num>
  <w:num w:numId="40">
    <w:abstractNumId w:val="3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79"/>
    <w:rsid w:val="0000267A"/>
    <w:rsid w:val="0001496B"/>
    <w:rsid w:val="00022AF4"/>
    <w:rsid w:val="00027EB6"/>
    <w:rsid w:val="00036B4D"/>
    <w:rsid w:val="0005412E"/>
    <w:rsid w:val="000639F6"/>
    <w:rsid w:val="000756B2"/>
    <w:rsid w:val="00075E20"/>
    <w:rsid w:val="00080161"/>
    <w:rsid w:val="0008360E"/>
    <w:rsid w:val="0008394C"/>
    <w:rsid w:val="00084565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168A9"/>
    <w:rsid w:val="001236B6"/>
    <w:rsid w:val="00126278"/>
    <w:rsid w:val="00126F03"/>
    <w:rsid w:val="001273D3"/>
    <w:rsid w:val="001363AF"/>
    <w:rsid w:val="00137408"/>
    <w:rsid w:val="00142BFA"/>
    <w:rsid w:val="001525AD"/>
    <w:rsid w:val="00160D00"/>
    <w:rsid w:val="0017536C"/>
    <w:rsid w:val="00175902"/>
    <w:rsid w:val="00176A7E"/>
    <w:rsid w:val="00182988"/>
    <w:rsid w:val="00192176"/>
    <w:rsid w:val="00195515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3FC6"/>
    <w:rsid w:val="001F436C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55EC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4B1D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A6C01"/>
    <w:rsid w:val="003B339E"/>
    <w:rsid w:val="003C0419"/>
    <w:rsid w:val="003C0FB5"/>
    <w:rsid w:val="003C121A"/>
    <w:rsid w:val="003C3363"/>
    <w:rsid w:val="003D30AA"/>
    <w:rsid w:val="003E28E3"/>
    <w:rsid w:val="003E2EBE"/>
    <w:rsid w:val="003E4627"/>
    <w:rsid w:val="003F10E8"/>
    <w:rsid w:val="003F6BE1"/>
    <w:rsid w:val="0041121B"/>
    <w:rsid w:val="0041595D"/>
    <w:rsid w:val="0041684D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4799"/>
    <w:rsid w:val="004F664D"/>
    <w:rsid w:val="00514C1A"/>
    <w:rsid w:val="005166CC"/>
    <w:rsid w:val="005230EE"/>
    <w:rsid w:val="00524035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36FF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5415"/>
    <w:rsid w:val="007A6293"/>
    <w:rsid w:val="007C3E2B"/>
    <w:rsid w:val="007D15DE"/>
    <w:rsid w:val="007D1853"/>
    <w:rsid w:val="007D2829"/>
    <w:rsid w:val="007D5E44"/>
    <w:rsid w:val="007D6E1F"/>
    <w:rsid w:val="007E647D"/>
    <w:rsid w:val="007F44D8"/>
    <w:rsid w:val="008120E6"/>
    <w:rsid w:val="00820C8E"/>
    <w:rsid w:val="0082488A"/>
    <w:rsid w:val="008419DA"/>
    <w:rsid w:val="00842E88"/>
    <w:rsid w:val="00854BCF"/>
    <w:rsid w:val="00855EEB"/>
    <w:rsid w:val="00867D31"/>
    <w:rsid w:val="00882AF4"/>
    <w:rsid w:val="00882D6B"/>
    <w:rsid w:val="008902BB"/>
    <w:rsid w:val="00891003"/>
    <w:rsid w:val="0089540F"/>
    <w:rsid w:val="008B092A"/>
    <w:rsid w:val="008B1832"/>
    <w:rsid w:val="008C4B98"/>
    <w:rsid w:val="008C5609"/>
    <w:rsid w:val="008C6383"/>
    <w:rsid w:val="008D1190"/>
    <w:rsid w:val="008D11D1"/>
    <w:rsid w:val="008D27F5"/>
    <w:rsid w:val="008D7AB3"/>
    <w:rsid w:val="008E2D99"/>
    <w:rsid w:val="008E5195"/>
    <w:rsid w:val="008E7A03"/>
    <w:rsid w:val="008F1048"/>
    <w:rsid w:val="008F2AEC"/>
    <w:rsid w:val="00902461"/>
    <w:rsid w:val="00916BC3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A1367"/>
    <w:rsid w:val="009A716C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0C1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1F9F"/>
    <w:rsid w:val="00A83352"/>
    <w:rsid w:val="00A86C59"/>
    <w:rsid w:val="00AA1E04"/>
    <w:rsid w:val="00AA6B05"/>
    <w:rsid w:val="00AB0DBC"/>
    <w:rsid w:val="00AB1F98"/>
    <w:rsid w:val="00AB40FD"/>
    <w:rsid w:val="00AB6058"/>
    <w:rsid w:val="00AC04B5"/>
    <w:rsid w:val="00AC1F80"/>
    <w:rsid w:val="00AD2AB7"/>
    <w:rsid w:val="00AD5DF3"/>
    <w:rsid w:val="00AF227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857C5"/>
    <w:rsid w:val="00B919F0"/>
    <w:rsid w:val="00B92490"/>
    <w:rsid w:val="00B955FE"/>
    <w:rsid w:val="00B95C6C"/>
    <w:rsid w:val="00BA0679"/>
    <w:rsid w:val="00BA5504"/>
    <w:rsid w:val="00BA590E"/>
    <w:rsid w:val="00BB32F6"/>
    <w:rsid w:val="00BC10EA"/>
    <w:rsid w:val="00BC6E48"/>
    <w:rsid w:val="00BC7632"/>
    <w:rsid w:val="00BD5A90"/>
    <w:rsid w:val="00BE47A7"/>
    <w:rsid w:val="00BF52DE"/>
    <w:rsid w:val="00BF5665"/>
    <w:rsid w:val="00C0071D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6D42"/>
    <w:rsid w:val="00CF5D85"/>
    <w:rsid w:val="00D0580D"/>
    <w:rsid w:val="00D06EA4"/>
    <w:rsid w:val="00D075E8"/>
    <w:rsid w:val="00D12257"/>
    <w:rsid w:val="00D2549A"/>
    <w:rsid w:val="00D33BC0"/>
    <w:rsid w:val="00D4157C"/>
    <w:rsid w:val="00D41744"/>
    <w:rsid w:val="00D64BBA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DF6FE3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B47AA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949DC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B575E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AC6AB1"/>
  <w15:docId w15:val="{B5435AA0-00CB-4B6D-BFB3-490641FC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7CDA-DE50-4EB8-AC15-FA376BA6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645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7</cp:revision>
  <cp:lastPrinted>2016-02-21T08:13:00Z</cp:lastPrinted>
  <dcterms:created xsi:type="dcterms:W3CDTF">2018-12-13T07:48:00Z</dcterms:created>
  <dcterms:modified xsi:type="dcterms:W3CDTF">2018-12-16T00:32:00Z</dcterms:modified>
</cp:coreProperties>
</file>