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A68E" w14:textId="77777777" w:rsidR="00B67482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bookmarkStart w:id="0" w:name="_GoBack"/>
      <w:bookmarkEnd w:id="0"/>
    </w:p>
    <w:p w14:paraId="0D475474" w14:textId="77777777" w:rsidR="00B67482" w:rsidRPr="009311BA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</w:pPr>
      <w:r w:rsidRPr="009311BA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נייר עמדה</w:t>
      </w:r>
    </w:p>
    <w:p w14:paraId="047FA8D5" w14:textId="77777777" w:rsidR="009311BA" w:rsidRDefault="00A203F5" w:rsidP="0000267A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A203F5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 xml:space="preserve">חוק בתי המשפט </w:t>
      </w:r>
    </w:p>
    <w:p w14:paraId="307CA779" w14:textId="77777777" w:rsidR="00B67482" w:rsidRDefault="00A203F5" w:rsidP="0000267A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A203F5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(תיקון)(תובע טרדן), התשע"ח-2018</w:t>
      </w:r>
    </w:p>
    <w:p w14:paraId="3931A82A" w14:textId="77777777" w:rsidR="00B67482" w:rsidRPr="00B35509" w:rsidRDefault="00B67482" w:rsidP="00F97062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14:paraId="410D2767" w14:textId="741A9EA0" w:rsidR="0093462E" w:rsidRDefault="00C702BF" w:rsidP="007632A4">
      <w:pPr>
        <w:spacing w:after="240" w:line="360" w:lineRule="auto"/>
        <w:jc w:val="both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הצעת ה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חוק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שלפנינו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מבקשת 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>להסדיר את השימוש בצו חוסם כנגד מתדייני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ם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המגישים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באופן סדרתי תביעות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סרק</w:t>
      </w:r>
      <w:r w:rsidR="007910E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.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תביעות כאלה פוגעות בציבור כולו ובציבור המתדיינים בפרט: ראשית, 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הזמן הרב המוקצה לטיפול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המשפטי 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>בהליכי</w:t>
      </w:r>
      <w:r w:rsidR="007910E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סרק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מעכב את הטיפול בהליכי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>ם של בעלי דין אחרים ואף פ</w:t>
      </w:r>
      <w:r w:rsidR="00700A43">
        <w:rPr>
          <w:rFonts w:cs="David"/>
          <w:snapToGrid w:val="0"/>
          <w:color w:val="000000"/>
          <w:sz w:val="24"/>
          <w:szCs w:val="24"/>
          <w:rtl/>
          <w:lang w:eastAsia="ja-JP"/>
        </w:rPr>
        <w:t>וגע בזכות הגישה שלהם לבית המשפט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;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כמו כן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700A4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התנהלות זו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דורשת 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הוצאות </w:t>
      </w:r>
      <w:r w:rsidR="007632A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ציבוריות</w:t>
      </w:r>
      <w:r w:rsidR="00700A4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ניכרות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אשר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נגרעות </w:t>
      </w:r>
      <w:r w:rsidR="00700A43">
        <w:rPr>
          <w:rFonts w:cs="David"/>
          <w:snapToGrid w:val="0"/>
          <w:color w:val="000000"/>
          <w:sz w:val="24"/>
          <w:szCs w:val="24"/>
          <w:rtl/>
          <w:lang w:eastAsia="ja-JP"/>
        </w:rPr>
        <w:t>ממשאבי הציבור כולו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;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מלבד כל זאת, 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>בטווח הארוך</w:t>
      </w:r>
      <w:r w:rsidR="007910E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יש ב</w:t>
      </w:r>
      <w:r w:rsidR="00700A4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הליכי סרק</w:t>
      </w:r>
      <w:r w:rsidR="007910E3" w:rsidRPr="007910E3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כדי לפגוע ביוקרתו של בית המשפט בעיני הציבור</w:t>
      </w:r>
      <w:r w:rsidR="0093462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="00D77D4F">
        <w:rPr>
          <w:rStyle w:val="af0"/>
          <w:snapToGrid w:val="0"/>
          <w:color w:val="000000"/>
          <w:sz w:val="24"/>
          <w:szCs w:val="24"/>
          <w:rtl/>
          <w:lang w:eastAsia="ja-JP"/>
        </w:rPr>
        <w:endnoteReference w:id="1"/>
      </w:r>
    </w:p>
    <w:p w14:paraId="30AD7395" w14:textId="64066020" w:rsidR="0093462E" w:rsidRDefault="0093462E" w:rsidP="007632A4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מנם, גם כיום מצויה בידי בית המשפט היכולת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לדחות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תביעה על הסף בהיותה "טורדנית וקנטרנית";</w:t>
      </w:r>
      <w:r w:rsidR="00D77D4F">
        <w:rPr>
          <w:rStyle w:val="af0"/>
          <w:snapToGrid w:val="0"/>
          <w:color w:val="000000"/>
          <w:sz w:val="24"/>
          <w:szCs w:val="24"/>
          <w:rtl/>
          <w:lang w:eastAsia="ja-JP"/>
        </w:rPr>
        <w:endnoteReference w:id="2"/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דא עקא,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שלא תמיד ניתן לקבוע באופן החלטי כי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התביעה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ראויה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מלכתחילה ל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דחייה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על הסף,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ולפיכך </w:t>
      </w:r>
      <w:proofErr w:type="spellStart"/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לא</w:t>
      </w:r>
      <w:r w:rsidR="007632A4">
        <w:rPr>
          <w:rFonts w:ascii="David" w:hAnsi="David" w:cs="David"/>
          <w:snapToGrid w:val="0"/>
          <w:color w:val="000000"/>
          <w:sz w:val="24"/>
          <w:szCs w:val="24"/>
          <w:rtl/>
          <w:lang w:eastAsia="ja-JP"/>
        </w:rPr>
        <w:t>־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אחת</w:t>
      </w:r>
      <w:proofErr w:type="spellEnd"/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נאלץ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בית המשפט לברר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לגופ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ו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אז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לדחות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95B13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מה שכאמור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כרוך בהשקעת משאבים מיותרים</w:t>
      </w:r>
      <w:r w:rsidR="007632A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 הן</w:t>
      </w:r>
      <w:r w:rsidR="007632A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מצד הנתבעים</w:t>
      </w:r>
      <w:r w:rsidR="007632A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 הן</w:t>
      </w:r>
      <w:r w:rsidR="007632A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מצד 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מערכת המשפט 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Pr="0093462E">
        <w:rPr>
          <w:rFonts w:cs="David"/>
          <w:snapToGrid w:val="0"/>
          <w:color w:val="000000"/>
          <w:sz w:val="24"/>
          <w:szCs w:val="24"/>
          <w:rtl/>
          <w:lang w:eastAsia="ja-JP"/>
        </w:rPr>
        <w:t>שמשאביה מוגבלים ממילא</w:t>
      </w:r>
      <w:r w:rsidR="00595B1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>.</w:t>
      </w:r>
    </w:p>
    <w:p w14:paraId="0937FAD1" w14:textId="1B61EC60" w:rsidR="0093462E" w:rsidRPr="00F97062" w:rsidRDefault="0093462E" w:rsidP="00595B13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לפיכך מוצע כי </w:t>
      </w:r>
      <w:r w:rsidR="00595B13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כאשר </w:t>
      </w:r>
      <w:r w:rsidR="00FA40E6">
        <w:rPr>
          <w:rFonts w:cs="David" w:hint="eastAsia"/>
          <w:sz w:val="24"/>
          <w:szCs w:val="24"/>
          <w:rtl/>
        </w:rPr>
        <w:t>בעל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דין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מגיש</w:t>
      </w:r>
      <w:r w:rsidR="00FA40E6">
        <w:rPr>
          <w:rFonts w:cs="David"/>
          <w:sz w:val="24"/>
          <w:szCs w:val="24"/>
          <w:rtl/>
        </w:rPr>
        <w:t xml:space="preserve"> </w:t>
      </w:r>
      <w:r w:rsidR="00595B13">
        <w:rPr>
          <w:rFonts w:cs="David" w:hint="eastAsia"/>
          <w:sz w:val="24"/>
          <w:szCs w:val="24"/>
          <w:rtl/>
        </w:rPr>
        <w:t>הליכי</w:t>
      </w:r>
      <w:r w:rsidR="00595B13">
        <w:rPr>
          <w:rFonts w:cs="David" w:hint="cs"/>
          <w:sz w:val="24"/>
          <w:szCs w:val="24"/>
          <w:rtl/>
        </w:rPr>
        <w:t xml:space="preserve"> סרק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באופן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עקבי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ושיטתי</w:t>
      </w:r>
      <w:r w:rsidR="00595B13">
        <w:rPr>
          <w:rFonts w:cs="David" w:hint="cs"/>
          <w:sz w:val="24"/>
          <w:szCs w:val="24"/>
          <w:rtl/>
        </w:rPr>
        <w:t>,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בבית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משפט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אחד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או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בבתי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משפט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שונים</w:t>
      </w:r>
      <w:r w:rsidR="00FA40E6">
        <w:rPr>
          <w:rFonts w:cs="David"/>
          <w:sz w:val="24"/>
          <w:szCs w:val="24"/>
          <w:rtl/>
        </w:rPr>
        <w:t xml:space="preserve"> </w:t>
      </w:r>
      <w:r w:rsidR="00595B13">
        <w:rPr>
          <w:rFonts w:cs="David"/>
          <w:sz w:val="24"/>
          <w:szCs w:val="24"/>
          <w:rtl/>
        </w:rPr>
        <w:t>–</w:t>
      </w:r>
      <w:r w:rsidR="00595B13">
        <w:rPr>
          <w:rFonts w:cs="David" w:hint="cs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בין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אם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כנגד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בעל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דין</w:t>
      </w:r>
      <w:r w:rsidR="00595B13">
        <w:rPr>
          <w:rFonts w:cs="David" w:hint="cs"/>
          <w:sz w:val="24"/>
          <w:szCs w:val="24"/>
          <w:rtl/>
        </w:rPr>
        <w:t xml:space="preserve"> אחד,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בין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אם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כנגד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בעלי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דין</w:t>
      </w:r>
      <w:r w:rsidR="00FA40E6">
        <w:rPr>
          <w:rFonts w:cs="David"/>
          <w:sz w:val="24"/>
          <w:szCs w:val="24"/>
          <w:rtl/>
        </w:rPr>
        <w:t xml:space="preserve"> </w:t>
      </w:r>
      <w:r w:rsidR="00FA40E6">
        <w:rPr>
          <w:rFonts w:cs="David" w:hint="eastAsia"/>
          <w:sz w:val="24"/>
          <w:szCs w:val="24"/>
          <w:rtl/>
        </w:rPr>
        <w:t>שונים</w:t>
      </w:r>
      <w:r w:rsidR="00FA40E6">
        <w:rPr>
          <w:rFonts w:cs="David"/>
          <w:sz w:val="24"/>
          <w:szCs w:val="24"/>
          <w:rtl/>
        </w:rPr>
        <w:t xml:space="preserve"> </w:t>
      </w:r>
      <w:r w:rsidR="00595B13">
        <w:rPr>
          <w:rFonts w:cs="David"/>
          <w:sz w:val="24"/>
          <w:szCs w:val="24"/>
          <w:rtl/>
        </w:rPr>
        <w:t>–</w:t>
      </w:r>
      <w:r w:rsidR="00595B13">
        <w:rPr>
          <w:rFonts w:cs="David" w:hint="cs"/>
          <w:sz w:val="24"/>
          <w:szCs w:val="24"/>
          <w:rtl/>
        </w:rPr>
        <w:t xml:space="preserve"> </w:t>
      </w:r>
      <w:r w:rsidR="00FA40E6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יוכל בית המשפט העליון להוציא כנגדו 'צו חוסם', </w:t>
      </w:r>
      <w:r w:rsidR="00595B13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>ש</w:t>
      </w:r>
      <w:r w:rsidR="00FA40E6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משמעותו היא </w:t>
      </w:r>
      <w:r w:rsidR="00922989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כי במשך פרק זמן </w:t>
      </w:r>
      <w:proofErr w:type="spellStart"/>
      <w:r w:rsidR="00922989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>קבוע</w:t>
      </w:r>
      <w:r w:rsidR="00166172">
        <w:rPr>
          <w:rFonts w:ascii="David" w:hAnsi="David" w:cs="David"/>
          <w:snapToGrid w:val="0"/>
          <w:color w:val="000000"/>
          <w:sz w:val="24"/>
          <w:szCs w:val="24"/>
          <w:rtl/>
          <w:lang w:eastAsia="ja-JP"/>
        </w:rPr>
        <w:t>־</w:t>
      </w:r>
      <w:r w:rsidR="00922989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>מראש</w:t>
      </w:r>
      <w:proofErr w:type="spellEnd"/>
      <w:r w:rsidR="00922989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A40E6">
        <w:rPr>
          <w:rStyle w:val="a8"/>
          <w:rFonts w:cs="David" w:hint="cs"/>
          <w:b w:val="0"/>
          <w:snapToGrid w:val="0"/>
          <w:color w:val="000000"/>
          <w:sz w:val="24"/>
          <w:szCs w:val="24"/>
          <w:rtl/>
          <w:lang w:eastAsia="ja-JP"/>
        </w:rPr>
        <w:t xml:space="preserve">תביעותיו הבאות </w:t>
      </w:r>
      <w:r w:rsidR="00FA40E6" w:rsidRPr="001346B9">
        <w:rPr>
          <w:rFonts w:cs="David" w:hint="eastAsia"/>
          <w:sz w:val="24"/>
          <w:szCs w:val="24"/>
          <w:rtl/>
        </w:rPr>
        <w:t>לא</w:t>
      </w:r>
      <w:r w:rsidR="00FA40E6" w:rsidRPr="001346B9">
        <w:rPr>
          <w:rFonts w:cs="David"/>
          <w:sz w:val="24"/>
          <w:szCs w:val="24"/>
          <w:rtl/>
        </w:rPr>
        <w:t xml:space="preserve"> </w:t>
      </w:r>
      <w:r w:rsidR="00595B13">
        <w:rPr>
          <w:rFonts w:cs="David" w:hint="cs"/>
          <w:sz w:val="24"/>
          <w:szCs w:val="24"/>
          <w:rtl/>
        </w:rPr>
        <w:t xml:space="preserve">תתקבלנה </w:t>
      </w:r>
      <w:r w:rsidR="00FA40E6" w:rsidRPr="001346B9">
        <w:rPr>
          <w:rFonts w:cs="David" w:hint="eastAsia"/>
          <w:sz w:val="24"/>
          <w:szCs w:val="24"/>
          <w:rtl/>
        </w:rPr>
        <w:t>לרישום</w:t>
      </w:r>
      <w:r w:rsidR="00FA40E6" w:rsidRPr="001346B9">
        <w:rPr>
          <w:rFonts w:cs="David"/>
          <w:sz w:val="24"/>
          <w:szCs w:val="24"/>
          <w:rtl/>
        </w:rPr>
        <w:t xml:space="preserve"> </w:t>
      </w:r>
      <w:r w:rsidR="00FA40E6" w:rsidRPr="001346B9">
        <w:rPr>
          <w:rFonts w:cs="David" w:hint="eastAsia"/>
          <w:sz w:val="24"/>
          <w:szCs w:val="24"/>
          <w:rtl/>
        </w:rPr>
        <w:t>בבתי</w:t>
      </w:r>
      <w:r w:rsidR="00FA40E6" w:rsidRPr="001346B9">
        <w:rPr>
          <w:rFonts w:cs="David"/>
          <w:sz w:val="24"/>
          <w:szCs w:val="24"/>
          <w:rtl/>
        </w:rPr>
        <w:t xml:space="preserve"> </w:t>
      </w:r>
      <w:r w:rsidR="00595B13">
        <w:rPr>
          <w:rFonts w:cs="David" w:hint="cs"/>
          <w:sz w:val="24"/>
          <w:szCs w:val="24"/>
          <w:rtl/>
        </w:rPr>
        <w:t>ה</w:t>
      </w:r>
      <w:r w:rsidR="00FA40E6" w:rsidRPr="001346B9">
        <w:rPr>
          <w:rFonts w:cs="David" w:hint="eastAsia"/>
          <w:sz w:val="24"/>
          <w:szCs w:val="24"/>
          <w:rtl/>
        </w:rPr>
        <w:t>משפט</w:t>
      </w:r>
      <w:r w:rsidR="00922989">
        <w:rPr>
          <w:rFonts w:cs="David" w:hint="cs"/>
          <w:sz w:val="24"/>
          <w:szCs w:val="24"/>
          <w:rtl/>
        </w:rPr>
        <w:t xml:space="preserve"> </w:t>
      </w:r>
      <w:r w:rsidR="00595B13">
        <w:rPr>
          <w:rFonts w:cs="David"/>
          <w:sz w:val="24"/>
          <w:szCs w:val="24"/>
          <w:rtl/>
        </w:rPr>
        <w:t>–</w:t>
      </w:r>
      <w:r w:rsidR="00595B13">
        <w:rPr>
          <w:rFonts w:cs="David" w:hint="cs"/>
          <w:sz w:val="24"/>
          <w:szCs w:val="24"/>
          <w:rtl/>
        </w:rPr>
        <w:t xml:space="preserve"> </w:t>
      </w:r>
      <w:r w:rsidR="00922989">
        <w:rPr>
          <w:rFonts w:cs="David" w:hint="cs"/>
          <w:sz w:val="24"/>
          <w:szCs w:val="24"/>
          <w:rtl/>
        </w:rPr>
        <w:t>בכפוף לתנאים ולמגבלות שיוצבו על ידי בית המשפט העליון</w:t>
      </w:r>
      <w:r w:rsidR="00D77D4F">
        <w:rPr>
          <w:rFonts w:cs="David" w:hint="cs"/>
          <w:sz w:val="24"/>
          <w:szCs w:val="24"/>
          <w:rtl/>
        </w:rPr>
        <w:t xml:space="preserve"> בהתאם לצרכי המקרה</w:t>
      </w:r>
      <w:r w:rsidR="00922989">
        <w:rPr>
          <w:rFonts w:cs="David" w:hint="cs"/>
          <w:sz w:val="24"/>
          <w:szCs w:val="24"/>
          <w:rtl/>
        </w:rPr>
        <w:t>.</w:t>
      </w:r>
    </w:p>
    <w:p w14:paraId="439DD5AE" w14:textId="77777777" w:rsidR="00B67482" w:rsidRPr="00B35509" w:rsidRDefault="00A81E14" w:rsidP="00F97062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14:paraId="191B3F11" w14:textId="77777777" w:rsidR="00DB1ECD" w:rsidRPr="00DB1ECD" w:rsidRDefault="009311BA" w:rsidP="00595B13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A81E14">
        <w:rPr>
          <w:rFonts w:cs="David" w:hint="cs"/>
          <w:b/>
          <w:bCs/>
          <w:sz w:val="24"/>
          <w:szCs w:val="24"/>
          <w:rtl/>
        </w:rPr>
        <w:t>ה</w:t>
      </w:r>
      <w:r w:rsidR="00922989">
        <w:rPr>
          <w:rFonts w:cs="David" w:hint="cs"/>
          <w:b/>
          <w:bCs/>
          <w:sz w:val="24"/>
          <w:szCs w:val="24"/>
          <w:rtl/>
        </w:rPr>
        <w:t>נגישות למשפט כיסוד לדין צדק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A14527">
        <w:rPr>
          <w:rFonts w:cs="David" w:hint="cs"/>
          <w:sz w:val="24"/>
          <w:szCs w:val="24"/>
          <w:rtl/>
        </w:rPr>
        <w:t>ה</w:t>
      </w:r>
      <w:r w:rsidR="00930315">
        <w:rPr>
          <w:rFonts w:cs="David" w:hint="cs"/>
          <w:sz w:val="24"/>
          <w:szCs w:val="24"/>
          <w:rtl/>
        </w:rPr>
        <w:t>תורה רואה חשיבות עליונה במתן</w:t>
      </w:r>
      <w:r w:rsidR="00061BDA">
        <w:rPr>
          <w:rFonts w:cs="David" w:hint="cs"/>
          <w:sz w:val="24"/>
          <w:szCs w:val="24"/>
          <w:rtl/>
        </w:rPr>
        <w:t xml:space="preserve"> אפשרות לכל אדם לפנות לבית הדין ולקבל סעד לפני עניינו</w:t>
      </w:r>
      <w:r w:rsidR="00595B13">
        <w:rPr>
          <w:rFonts w:cs="David" w:hint="cs"/>
          <w:sz w:val="24"/>
          <w:szCs w:val="24"/>
          <w:rtl/>
        </w:rPr>
        <w:t>,</w:t>
      </w:r>
      <w:r w:rsidR="00DF7DF6" w:rsidRPr="00DF7DF6">
        <w:rPr>
          <w:rtl/>
        </w:rPr>
        <w:t xml:space="preserve"> </w:t>
      </w:r>
      <w:r w:rsidR="00DF7DF6">
        <w:rPr>
          <w:rFonts w:cs="David" w:hint="cs"/>
          <w:sz w:val="24"/>
          <w:szCs w:val="24"/>
          <w:rtl/>
        </w:rPr>
        <w:t>שהרי, אם "</w:t>
      </w:r>
      <w:r w:rsidR="00DF7DF6" w:rsidRPr="00DF7DF6">
        <w:rPr>
          <w:rFonts w:cs="David"/>
          <w:sz w:val="24"/>
          <w:szCs w:val="24"/>
          <w:rtl/>
        </w:rPr>
        <w:t>לא יוכלו לגשת למשפט בכל עת</w:t>
      </w:r>
      <w:r w:rsidR="00595B13">
        <w:rPr>
          <w:rFonts w:cs="David" w:hint="cs"/>
          <w:sz w:val="24"/>
          <w:szCs w:val="24"/>
          <w:rtl/>
        </w:rPr>
        <w:t>,</w:t>
      </w:r>
      <w:r w:rsidR="00DF7DF6" w:rsidRPr="00DF7DF6">
        <w:rPr>
          <w:rFonts w:cs="David"/>
          <w:sz w:val="24"/>
          <w:szCs w:val="24"/>
          <w:rtl/>
        </w:rPr>
        <w:t xml:space="preserve"> לא ינוחו בשלום, כי זה פתח לגוזלים לעשות חמס ולעושקים לעשות מריבה</w:t>
      </w:r>
      <w:r w:rsidR="00DF7DF6">
        <w:rPr>
          <w:rFonts w:cs="David" w:hint="cs"/>
          <w:sz w:val="24"/>
          <w:szCs w:val="24"/>
          <w:rtl/>
        </w:rPr>
        <w:t>"</w:t>
      </w:r>
      <w:r w:rsidR="00DF7DF6" w:rsidRPr="00DF7DF6">
        <w:rPr>
          <w:rFonts w:cs="David"/>
          <w:sz w:val="24"/>
          <w:szCs w:val="24"/>
          <w:rtl/>
        </w:rPr>
        <w:t>.</w:t>
      </w:r>
      <w:r w:rsidR="00061BDA">
        <w:rPr>
          <w:rStyle w:val="af0"/>
          <w:sz w:val="24"/>
          <w:szCs w:val="24"/>
          <w:rtl/>
        </w:rPr>
        <w:endnoteReference w:id="3"/>
      </w:r>
      <w:r w:rsidR="00061BD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ית</w:t>
      </w:r>
      <w:r w:rsidR="00DB1ECD">
        <w:rPr>
          <w:rFonts w:cs="David" w:hint="cs"/>
          <w:sz w:val="24"/>
          <w:szCs w:val="24"/>
          <w:rtl/>
        </w:rPr>
        <w:t>רה מכך: אף "אם יקרה שאחד מטריד ו</w:t>
      </w:r>
      <w:r w:rsidR="00C702BF">
        <w:rPr>
          <w:rFonts w:cs="David" w:hint="cs"/>
          <w:sz w:val="24"/>
          <w:szCs w:val="24"/>
          <w:rtl/>
        </w:rPr>
        <w:t>מצער את הדיין ומדבר קשות וגם מע</w:t>
      </w:r>
      <w:r w:rsidR="00DB1ECD">
        <w:rPr>
          <w:rFonts w:cs="David" w:hint="cs"/>
          <w:sz w:val="24"/>
          <w:szCs w:val="24"/>
          <w:rtl/>
        </w:rPr>
        <w:t>ז פניו בו, וכדומה מן העניינים המטרידים ומצערים את הגוף ואת הנפש", עדיין צריך הדיין "</w:t>
      </w:r>
      <w:r w:rsidR="00DB1ECD" w:rsidRPr="00DB1ECD">
        <w:rPr>
          <w:rFonts w:cs="David"/>
          <w:sz w:val="24"/>
          <w:szCs w:val="24"/>
          <w:rtl/>
        </w:rPr>
        <w:t>שיסבול טורח הצבור ומשאם</w:t>
      </w:r>
      <w:r w:rsidR="00DB1ECD">
        <w:rPr>
          <w:rFonts w:cs="David" w:hint="cs"/>
          <w:sz w:val="24"/>
          <w:szCs w:val="24"/>
          <w:rtl/>
        </w:rPr>
        <w:t>".</w:t>
      </w:r>
      <w:r w:rsidR="00DB1ECD">
        <w:rPr>
          <w:rStyle w:val="af0"/>
          <w:sz w:val="24"/>
          <w:szCs w:val="24"/>
          <w:rtl/>
        </w:rPr>
        <w:endnoteReference w:id="4"/>
      </w:r>
      <w:r w:rsidR="00DB1ECD">
        <w:rPr>
          <w:rFonts w:cs="David" w:hint="cs"/>
          <w:sz w:val="24"/>
          <w:szCs w:val="24"/>
          <w:rtl/>
        </w:rPr>
        <w:t xml:space="preserve"> </w:t>
      </w:r>
    </w:p>
    <w:p w14:paraId="454F3442" w14:textId="1D02649F" w:rsidR="00B67482" w:rsidRPr="00A81E14" w:rsidRDefault="009311BA" w:rsidP="00C702BF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DF7DF6">
        <w:rPr>
          <w:rFonts w:cs="David" w:hint="cs"/>
          <w:b/>
          <w:bCs/>
          <w:sz w:val="24"/>
          <w:szCs w:val="24"/>
          <w:rtl/>
        </w:rPr>
        <w:t>דין פרוטה כדין מאה</w:t>
      </w:r>
      <w:r w:rsidR="00B67482" w:rsidRPr="0063145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C702BF">
        <w:rPr>
          <w:rFonts w:cs="David" w:hint="cs"/>
          <w:sz w:val="24"/>
          <w:szCs w:val="24"/>
          <w:rtl/>
        </w:rPr>
        <w:t xml:space="preserve">כל עוד יש לתביעה ערך ממוני, </w:t>
      </w:r>
      <w:r w:rsidR="006606CC">
        <w:rPr>
          <w:rFonts w:cs="David" w:hint="cs"/>
          <w:sz w:val="24"/>
          <w:szCs w:val="24"/>
          <w:rtl/>
        </w:rPr>
        <w:t>ואפילו שווה פרוטה בלבד</w:t>
      </w:r>
      <w:r w:rsidR="00C702BF">
        <w:rPr>
          <w:rFonts w:cs="David" w:hint="cs"/>
          <w:sz w:val="24"/>
          <w:szCs w:val="24"/>
          <w:rtl/>
        </w:rPr>
        <w:t>,</w:t>
      </w:r>
      <w:r w:rsidR="006606CC">
        <w:rPr>
          <w:rStyle w:val="af0"/>
          <w:sz w:val="24"/>
          <w:szCs w:val="24"/>
          <w:rtl/>
        </w:rPr>
        <w:endnoteReference w:id="5"/>
      </w:r>
      <w:r w:rsidR="00C702BF">
        <w:rPr>
          <w:rFonts w:cs="David" w:hint="cs"/>
          <w:sz w:val="24"/>
          <w:szCs w:val="24"/>
          <w:rtl/>
        </w:rPr>
        <w:t xml:space="preserve"> ההלכה אינה מגדירה אותה כראויה לדחייה על הסף. </w:t>
      </w:r>
      <w:proofErr w:type="spellStart"/>
      <w:r w:rsidR="00C702BF">
        <w:rPr>
          <w:rFonts w:cs="David" w:hint="cs"/>
          <w:sz w:val="24"/>
          <w:szCs w:val="24"/>
          <w:rtl/>
        </w:rPr>
        <w:t>מאידך</w:t>
      </w:r>
      <w:r w:rsidR="007632A4">
        <w:rPr>
          <w:rFonts w:cs="David" w:hint="cs"/>
          <w:sz w:val="24"/>
          <w:szCs w:val="24"/>
          <w:rtl/>
        </w:rPr>
        <w:t>־</w:t>
      </w:r>
      <w:r w:rsidR="00C702BF">
        <w:rPr>
          <w:rFonts w:cs="David" w:hint="cs"/>
          <w:sz w:val="24"/>
          <w:szCs w:val="24"/>
          <w:rtl/>
        </w:rPr>
        <w:t>גיסא</w:t>
      </w:r>
      <w:proofErr w:type="spellEnd"/>
      <w:r w:rsidR="00DB1ECD">
        <w:rPr>
          <w:rFonts w:cs="David" w:hint="cs"/>
          <w:sz w:val="24"/>
          <w:szCs w:val="24"/>
          <w:rtl/>
        </w:rPr>
        <w:t xml:space="preserve">, תביעה </w:t>
      </w:r>
      <w:r w:rsidR="00595B13">
        <w:rPr>
          <w:rFonts w:cs="David" w:hint="cs"/>
          <w:sz w:val="24"/>
          <w:szCs w:val="24"/>
          <w:rtl/>
        </w:rPr>
        <w:t xml:space="preserve">שאינה כוללת רכיב ממוני אלא </w:t>
      </w:r>
      <w:r w:rsidR="00DB1ECD">
        <w:rPr>
          <w:rFonts w:cs="David" w:hint="cs"/>
          <w:sz w:val="24"/>
          <w:szCs w:val="24"/>
          <w:rtl/>
        </w:rPr>
        <w:t>מכוונת להשגת הצהרה מסוימת או התנצלות, יכול</w:t>
      </w:r>
      <w:r w:rsidR="00595B13">
        <w:rPr>
          <w:rFonts w:cs="David" w:hint="cs"/>
          <w:sz w:val="24"/>
          <w:szCs w:val="24"/>
          <w:rtl/>
        </w:rPr>
        <w:t>ה</w:t>
      </w:r>
      <w:r w:rsidR="00DB1ECD">
        <w:rPr>
          <w:rFonts w:cs="David" w:hint="cs"/>
          <w:sz w:val="24"/>
          <w:szCs w:val="24"/>
          <w:rtl/>
        </w:rPr>
        <w:t xml:space="preserve"> </w:t>
      </w:r>
      <w:r w:rsidR="00C702BF">
        <w:rPr>
          <w:rFonts w:cs="David" w:hint="cs"/>
          <w:sz w:val="24"/>
          <w:szCs w:val="24"/>
          <w:rtl/>
        </w:rPr>
        <w:t xml:space="preserve">להידחות </w:t>
      </w:r>
      <w:r w:rsidR="00DB1ECD">
        <w:rPr>
          <w:rFonts w:cs="David" w:hint="cs"/>
          <w:sz w:val="24"/>
          <w:szCs w:val="24"/>
          <w:rtl/>
        </w:rPr>
        <w:t>על הסף</w:t>
      </w:r>
      <w:r w:rsidR="006F78E8">
        <w:rPr>
          <w:rFonts w:cs="David" w:hint="cs"/>
          <w:sz w:val="24"/>
          <w:szCs w:val="24"/>
          <w:rtl/>
        </w:rPr>
        <w:t xml:space="preserve"> אם החליט</w:t>
      </w:r>
      <w:r w:rsidR="00C702BF">
        <w:rPr>
          <w:rFonts w:cs="David" w:hint="cs"/>
          <w:sz w:val="24"/>
          <w:szCs w:val="24"/>
          <w:rtl/>
        </w:rPr>
        <w:t xml:space="preserve"> בית הדין</w:t>
      </w:r>
      <w:r w:rsidR="006F78E8">
        <w:rPr>
          <w:rFonts w:cs="David" w:hint="cs"/>
          <w:sz w:val="24"/>
          <w:szCs w:val="24"/>
          <w:rtl/>
        </w:rPr>
        <w:t xml:space="preserve"> </w:t>
      </w:r>
      <w:r w:rsidR="00C702BF">
        <w:rPr>
          <w:rFonts w:cs="David" w:hint="cs"/>
          <w:sz w:val="24"/>
          <w:szCs w:val="24"/>
          <w:rtl/>
        </w:rPr>
        <w:t xml:space="preserve">כי היא </w:t>
      </w:r>
      <w:r w:rsidR="006F78E8">
        <w:rPr>
          <w:rFonts w:cs="David" w:hint="cs"/>
          <w:sz w:val="24"/>
          <w:szCs w:val="24"/>
          <w:rtl/>
        </w:rPr>
        <w:t xml:space="preserve">אינה משמעותית </w:t>
      </w:r>
      <w:r w:rsidR="00C702BF">
        <w:rPr>
          <w:rFonts w:cs="David" w:hint="cs"/>
          <w:sz w:val="24"/>
          <w:szCs w:val="24"/>
          <w:rtl/>
        </w:rPr>
        <w:t>דיה</w:t>
      </w:r>
      <w:r w:rsidR="006F78E8">
        <w:rPr>
          <w:rFonts w:cs="David" w:hint="cs"/>
          <w:sz w:val="24"/>
          <w:szCs w:val="24"/>
          <w:rtl/>
        </w:rPr>
        <w:t xml:space="preserve"> </w:t>
      </w:r>
      <w:r w:rsidR="00C702BF">
        <w:rPr>
          <w:rFonts w:cs="David"/>
          <w:sz w:val="24"/>
          <w:szCs w:val="24"/>
          <w:rtl/>
        </w:rPr>
        <w:t>–</w:t>
      </w:r>
      <w:r w:rsidR="00C702BF">
        <w:rPr>
          <w:rFonts w:cs="David" w:hint="cs"/>
          <w:sz w:val="24"/>
          <w:szCs w:val="24"/>
          <w:rtl/>
        </w:rPr>
        <w:t xml:space="preserve"> משום </w:t>
      </w:r>
      <w:r w:rsidR="006F78E8">
        <w:rPr>
          <w:rFonts w:cs="David" w:hint="cs"/>
          <w:sz w:val="24"/>
          <w:szCs w:val="24"/>
          <w:rtl/>
        </w:rPr>
        <w:t xml:space="preserve">שאין </w:t>
      </w:r>
      <w:r w:rsidR="002B762A">
        <w:rPr>
          <w:rFonts w:cs="David" w:hint="cs"/>
          <w:sz w:val="24"/>
          <w:szCs w:val="24"/>
          <w:rtl/>
        </w:rPr>
        <w:t>מטריחים את בית הדין לחינם.</w:t>
      </w:r>
      <w:r w:rsidR="002B762A">
        <w:rPr>
          <w:rStyle w:val="af0"/>
          <w:sz w:val="24"/>
          <w:szCs w:val="24"/>
          <w:rtl/>
        </w:rPr>
        <w:endnoteReference w:id="6"/>
      </w:r>
      <w:r w:rsidR="00AD65A5">
        <w:rPr>
          <w:rFonts w:cs="David" w:hint="cs"/>
          <w:sz w:val="24"/>
          <w:szCs w:val="24"/>
          <w:rtl/>
        </w:rPr>
        <w:t xml:space="preserve"> הגבלה זו נכונה גם במקרה </w:t>
      </w:r>
      <w:r w:rsidR="00C702BF">
        <w:rPr>
          <w:rFonts w:cs="David" w:hint="cs"/>
          <w:sz w:val="24"/>
          <w:szCs w:val="24"/>
          <w:rtl/>
        </w:rPr>
        <w:t>ש</w:t>
      </w:r>
      <w:r w:rsidR="00AD65A5">
        <w:rPr>
          <w:rFonts w:cs="David" w:hint="cs"/>
          <w:sz w:val="24"/>
          <w:szCs w:val="24"/>
          <w:rtl/>
        </w:rPr>
        <w:t xml:space="preserve">בו התביעה הייתה </w:t>
      </w:r>
      <w:r w:rsidR="00C702BF">
        <w:rPr>
          <w:rFonts w:cs="David" w:hint="cs"/>
          <w:sz w:val="24"/>
          <w:szCs w:val="24"/>
          <w:rtl/>
        </w:rPr>
        <w:t xml:space="preserve">בראשיתה </w:t>
      </w:r>
      <w:r w:rsidR="00AD65A5">
        <w:rPr>
          <w:rFonts w:cs="David" w:hint="cs"/>
          <w:sz w:val="24"/>
          <w:szCs w:val="24"/>
          <w:rtl/>
        </w:rPr>
        <w:t xml:space="preserve">בעלת </w:t>
      </w:r>
      <w:r w:rsidR="00C702BF">
        <w:rPr>
          <w:rFonts w:cs="David" w:hint="cs"/>
          <w:sz w:val="24"/>
          <w:szCs w:val="24"/>
          <w:rtl/>
        </w:rPr>
        <w:t xml:space="preserve">מרכיב </w:t>
      </w:r>
      <w:r w:rsidR="00AD65A5">
        <w:rPr>
          <w:rFonts w:cs="David" w:hint="cs"/>
          <w:sz w:val="24"/>
          <w:szCs w:val="24"/>
          <w:rtl/>
        </w:rPr>
        <w:t>כ</w:t>
      </w:r>
      <w:r w:rsidR="00C702BF">
        <w:rPr>
          <w:rFonts w:cs="David" w:hint="cs"/>
          <w:sz w:val="24"/>
          <w:szCs w:val="24"/>
          <w:rtl/>
        </w:rPr>
        <w:t>ספי, אלא שבית הדין כבר פסק לגבי מרכיב זה</w:t>
      </w:r>
      <w:r w:rsidR="00AD65A5">
        <w:rPr>
          <w:rFonts w:cs="David" w:hint="cs"/>
          <w:sz w:val="24"/>
          <w:szCs w:val="24"/>
          <w:rtl/>
        </w:rPr>
        <w:t xml:space="preserve"> וכעת בעלי הדין מטרידים אותו בהפצרות חינם.</w:t>
      </w:r>
      <w:r w:rsidR="00AD65A5">
        <w:rPr>
          <w:rStyle w:val="af0"/>
          <w:sz w:val="24"/>
          <w:szCs w:val="24"/>
          <w:rtl/>
        </w:rPr>
        <w:endnoteReference w:id="7"/>
      </w:r>
      <w:r w:rsidR="00AD65A5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0A94B3F4" w14:textId="5EBD6A29" w:rsidR="00B67482" w:rsidRPr="009311BA" w:rsidRDefault="009311BA" w:rsidP="00166172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="00DB6EB3" w:rsidRPr="009311BA">
        <w:rPr>
          <w:rFonts w:cs="David" w:hint="cs"/>
          <w:b/>
          <w:bCs/>
          <w:sz w:val="24"/>
          <w:szCs w:val="24"/>
          <w:rtl/>
        </w:rPr>
        <w:t xml:space="preserve">תביעה לדין </w:t>
      </w:r>
      <w:r w:rsidR="00483197" w:rsidRPr="009311BA">
        <w:rPr>
          <w:rFonts w:cs="David" w:hint="cs"/>
          <w:b/>
          <w:bCs/>
          <w:sz w:val="24"/>
          <w:szCs w:val="24"/>
          <w:rtl/>
        </w:rPr>
        <w:t>בכוונת היזק</w:t>
      </w:r>
      <w:r w:rsidR="00483197" w:rsidRPr="009311BA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A87FA4" w:rsidRPr="009311BA">
        <w:rPr>
          <w:rFonts w:cs="David" w:hint="cs"/>
          <w:sz w:val="24"/>
          <w:szCs w:val="24"/>
          <w:rtl/>
        </w:rPr>
        <w:t>כל האמור לעיל</w:t>
      </w:r>
      <w:r>
        <w:rPr>
          <w:rFonts w:cs="David" w:hint="cs"/>
          <w:sz w:val="24"/>
          <w:szCs w:val="24"/>
          <w:rtl/>
        </w:rPr>
        <w:t>,</w:t>
      </w:r>
      <w:r w:rsidR="00AD65A5" w:rsidRPr="009311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="00AD65A5" w:rsidRPr="009311BA">
        <w:rPr>
          <w:rFonts w:cs="David" w:hint="cs"/>
          <w:sz w:val="24"/>
          <w:szCs w:val="24"/>
          <w:rtl/>
        </w:rPr>
        <w:t>גבי חובתו של הדיין לדון בכל תביעה שיש לה ערך כלשהו</w:t>
      </w:r>
      <w:r>
        <w:rPr>
          <w:rFonts w:cs="David" w:hint="cs"/>
          <w:sz w:val="24"/>
          <w:szCs w:val="24"/>
          <w:rtl/>
        </w:rPr>
        <w:t>,</w:t>
      </w:r>
      <w:r w:rsidR="00AD65A5" w:rsidRPr="009311BA">
        <w:rPr>
          <w:rFonts w:cs="David" w:hint="cs"/>
          <w:sz w:val="24"/>
          <w:szCs w:val="24"/>
          <w:rtl/>
        </w:rPr>
        <w:t xml:space="preserve"> </w:t>
      </w:r>
      <w:r w:rsidR="00A87FA4" w:rsidRPr="009311BA">
        <w:rPr>
          <w:rFonts w:cs="David" w:hint="cs"/>
          <w:sz w:val="24"/>
          <w:szCs w:val="24"/>
          <w:rtl/>
        </w:rPr>
        <w:t xml:space="preserve">תקף דווקא במקרה </w:t>
      </w:r>
      <w:r>
        <w:rPr>
          <w:rFonts w:cs="David" w:hint="cs"/>
          <w:sz w:val="24"/>
          <w:szCs w:val="24"/>
          <w:rtl/>
        </w:rPr>
        <w:t>ש</w:t>
      </w:r>
      <w:r w:rsidR="00A87FA4" w:rsidRPr="009311BA">
        <w:rPr>
          <w:rFonts w:cs="David" w:hint="cs"/>
          <w:sz w:val="24"/>
          <w:szCs w:val="24"/>
          <w:rtl/>
        </w:rPr>
        <w:t xml:space="preserve">בו מטרת </w:t>
      </w:r>
      <w:r w:rsidR="00595B13">
        <w:rPr>
          <w:rFonts w:cs="David" w:hint="cs"/>
          <w:sz w:val="24"/>
          <w:szCs w:val="24"/>
          <w:rtl/>
        </w:rPr>
        <w:t xml:space="preserve">התובע היא להוציא את הצדק לאור </w:t>
      </w:r>
      <w:r w:rsidR="00595B13">
        <w:rPr>
          <w:rFonts w:cs="David"/>
          <w:sz w:val="24"/>
          <w:szCs w:val="24"/>
          <w:rtl/>
        </w:rPr>
        <w:t>–</w:t>
      </w:r>
      <w:r w:rsidR="00595B13">
        <w:rPr>
          <w:rFonts w:cs="David" w:hint="cs"/>
          <w:sz w:val="24"/>
          <w:szCs w:val="24"/>
          <w:rtl/>
        </w:rPr>
        <w:t xml:space="preserve"> </w:t>
      </w:r>
      <w:r w:rsidR="00A87FA4" w:rsidRPr="009311BA">
        <w:rPr>
          <w:rFonts w:cs="David" w:hint="cs"/>
          <w:sz w:val="24"/>
          <w:szCs w:val="24"/>
          <w:rtl/>
        </w:rPr>
        <w:t>א</w:t>
      </w:r>
      <w:r w:rsidR="00595B13">
        <w:rPr>
          <w:rFonts w:cs="David" w:hint="cs"/>
          <w:sz w:val="24"/>
          <w:szCs w:val="24"/>
          <w:rtl/>
        </w:rPr>
        <w:t>ף אם הוא טועה בתביעתו</w:t>
      </w:r>
      <w:r w:rsidR="00A87FA4" w:rsidRPr="009311BA">
        <w:rPr>
          <w:rFonts w:cs="David" w:hint="cs"/>
          <w:sz w:val="24"/>
          <w:szCs w:val="24"/>
          <w:rtl/>
        </w:rPr>
        <w:t xml:space="preserve"> </w:t>
      </w:r>
      <w:r w:rsidR="00595B13">
        <w:rPr>
          <w:rFonts w:cs="David"/>
          <w:sz w:val="24"/>
          <w:szCs w:val="24"/>
          <w:rtl/>
        </w:rPr>
        <w:t>–</w:t>
      </w:r>
      <w:r w:rsidR="00595B13">
        <w:rPr>
          <w:rFonts w:cs="David" w:hint="cs"/>
          <w:sz w:val="24"/>
          <w:szCs w:val="24"/>
          <w:rtl/>
        </w:rPr>
        <w:t xml:space="preserve"> ו</w:t>
      </w:r>
      <w:r w:rsidR="00A87FA4" w:rsidRPr="009311BA">
        <w:rPr>
          <w:rFonts w:cs="David" w:hint="cs"/>
          <w:sz w:val="24"/>
          <w:szCs w:val="24"/>
          <w:rtl/>
        </w:rPr>
        <w:t xml:space="preserve">על כגון </w:t>
      </w:r>
      <w:r w:rsidR="00166172">
        <w:rPr>
          <w:rFonts w:cs="David" w:hint="cs"/>
          <w:sz w:val="24"/>
          <w:szCs w:val="24"/>
          <w:rtl/>
        </w:rPr>
        <w:t xml:space="preserve">זה </w:t>
      </w:r>
      <w:r w:rsidR="00595B13">
        <w:rPr>
          <w:rFonts w:cs="David" w:hint="cs"/>
          <w:sz w:val="24"/>
          <w:szCs w:val="24"/>
          <w:rtl/>
        </w:rPr>
        <w:t>אמרה התורה</w:t>
      </w:r>
      <w:r w:rsidR="00A87FA4" w:rsidRPr="009311BA">
        <w:rPr>
          <w:rFonts w:cs="David" w:hint="cs"/>
          <w:sz w:val="24"/>
          <w:szCs w:val="24"/>
          <w:rtl/>
        </w:rPr>
        <w:t xml:space="preserve">: "ושפטתם </w:t>
      </w:r>
      <w:r w:rsidR="00595B13">
        <w:rPr>
          <w:rFonts w:cs="David" w:hint="cs"/>
          <w:sz w:val="24"/>
          <w:szCs w:val="24"/>
          <w:rtl/>
        </w:rPr>
        <w:t>צדק בין איש ובין אחיו" (דברים א</w:t>
      </w:r>
      <w:r w:rsidR="00A87FA4" w:rsidRPr="009311BA">
        <w:rPr>
          <w:rFonts w:cs="David" w:hint="cs"/>
          <w:sz w:val="24"/>
          <w:szCs w:val="24"/>
          <w:rtl/>
        </w:rPr>
        <w:t xml:space="preserve">, </w:t>
      </w:r>
      <w:proofErr w:type="spellStart"/>
      <w:r w:rsidR="00A87FA4" w:rsidRPr="009311BA">
        <w:rPr>
          <w:rFonts w:cs="David" w:hint="cs"/>
          <w:sz w:val="24"/>
          <w:szCs w:val="24"/>
          <w:rtl/>
        </w:rPr>
        <w:t>טז</w:t>
      </w:r>
      <w:proofErr w:type="spellEnd"/>
      <w:r w:rsidR="00A87FA4" w:rsidRPr="009311BA">
        <w:rPr>
          <w:rFonts w:cs="David" w:hint="cs"/>
          <w:sz w:val="24"/>
          <w:szCs w:val="24"/>
          <w:rtl/>
        </w:rPr>
        <w:t xml:space="preserve">). במקרה </w:t>
      </w:r>
      <w:r w:rsidR="00595B13">
        <w:rPr>
          <w:rFonts w:cs="David" w:hint="cs"/>
          <w:sz w:val="24"/>
          <w:szCs w:val="24"/>
          <w:rtl/>
        </w:rPr>
        <w:t>ש</w:t>
      </w:r>
      <w:r w:rsidR="00A87FA4" w:rsidRPr="009311BA">
        <w:rPr>
          <w:rFonts w:cs="David" w:hint="cs"/>
          <w:sz w:val="24"/>
          <w:szCs w:val="24"/>
          <w:rtl/>
        </w:rPr>
        <w:t xml:space="preserve">בו </w:t>
      </w:r>
      <w:r w:rsidR="00617EF4" w:rsidRPr="009311BA">
        <w:rPr>
          <w:rFonts w:cs="David" w:hint="cs"/>
          <w:sz w:val="24"/>
          <w:szCs w:val="24"/>
          <w:rtl/>
        </w:rPr>
        <w:t>מ</w:t>
      </w:r>
      <w:r w:rsidR="00A87FA4" w:rsidRPr="009311BA">
        <w:rPr>
          <w:rFonts w:cs="David" w:hint="cs"/>
          <w:sz w:val="24"/>
          <w:szCs w:val="24"/>
          <w:rtl/>
        </w:rPr>
        <w:t xml:space="preserve">וכח כי מטרת התובע אינה אלא לגזול את </w:t>
      </w:r>
      <w:r w:rsidR="00A87FA4" w:rsidRPr="009311BA">
        <w:rPr>
          <w:rFonts w:cs="David" w:hint="cs"/>
          <w:sz w:val="24"/>
          <w:szCs w:val="24"/>
          <w:rtl/>
        </w:rPr>
        <w:lastRenderedPageBreak/>
        <w:t>חברו</w:t>
      </w:r>
      <w:r w:rsidR="00166172">
        <w:rPr>
          <w:rFonts w:cs="David" w:hint="cs"/>
          <w:sz w:val="24"/>
          <w:szCs w:val="24"/>
          <w:rtl/>
        </w:rPr>
        <w:t xml:space="preserve"> או להזיק לו</w:t>
      </w:r>
      <w:r w:rsidR="00FD0D59" w:rsidRPr="009311BA">
        <w:rPr>
          <w:rFonts w:cs="David" w:hint="cs"/>
          <w:sz w:val="24"/>
          <w:szCs w:val="24"/>
          <w:rtl/>
        </w:rPr>
        <w:t>,</w:t>
      </w:r>
      <w:r w:rsidR="00617EF4" w:rsidRPr="009311BA">
        <w:rPr>
          <w:rFonts w:cs="David" w:hint="cs"/>
          <w:sz w:val="24"/>
          <w:szCs w:val="24"/>
          <w:rtl/>
        </w:rPr>
        <w:t xml:space="preserve"> </w:t>
      </w:r>
      <w:r w:rsidR="00A87FA4" w:rsidRPr="009311BA">
        <w:rPr>
          <w:rFonts w:cs="David" w:hint="cs"/>
          <w:sz w:val="24"/>
          <w:szCs w:val="24"/>
          <w:rtl/>
        </w:rPr>
        <w:t>הרי שלא משפט צדק לפנינו כי אם עושק, ומצווה על הדיין להציל עשוק מיד עושקו.</w:t>
      </w:r>
      <w:r w:rsidR="00A87FA4">
        <w:rPr>
          <w:rStyle w:val="af0"/>
          <w:sz w:val="24"/>
          <w:szCs w:val="24"/>
          <w:rtl/>
        </w:rPr>
        <w:endnoteReference w:id="8"/>
      </w:r>
      <w:r w:rsidR="00FD0D59" w:rsidRPr="009311BA">
        <w:rPr>
          <w:rFonts w:cs="David" w:hint="cs"/>
          <w:b/>
          <w:bCs/>
          <w:sz w:val="24"/>
          <w:szCs w:val="24"/>
          <w:rtl/>
        </w:rPr>
        <w:t xml:space="preserve"> </w:t>
      </w:r>
      <w:r w:rsidR="00FD0D59" w:rsidRPr="009311BA">
        <w:rPr>
          <w:rFonts w:cs="David" w:hint="cs"/>
          <w:sz w:val="24"/>
          <w:szCs w:val="24"/>
          <w:rtl/>
        </w:rPr>
        <w:t xml:space="preserve">הדברים נכונים בין אם מטרת בעל הדין היא להוציא מחברו דבר במרמה, </w:t>
      </w:r>
      <w:r w:rsidR="00EA3452">
        <w:rPr>
          <w:rFonts w:cs="David" w:hint="cs"/>
          <w:sz w:val="24"/>
          <w:szCs w:val="24"/>
          <w:rtl/>
        </w:rPr>
        <w:t xml:space="preserve">בין </w:t>
      </w:r>
      <w:r w:rsidR="00FD0D59" w:rsidRPr="009311BA">
        <w:rPr>
          <w:rFonts w:cs="David" w:hint="cs"/>
          <w:sz w:val="24"/>
          <w:szCs w:val="24"/>
          <w:rtl/>
        </w:rPr>
        <w:t xml:space="preserve">אם מטרתו </w:t>
      </w:r>
      <w:r w:rsidR="00EA3452">
        <w:rPr>
          <w:rFonts w:cs="David" w:hint="cs"/>
          <w:sz w:val="24"/>
          <w:szCs w:val="24"/>
          <w:rtl/>
        </w:rPr>
        <w:t xml:space="preserve">היא </w:t>
      </w:r>
      <w:r w:rsidR="00FD0D59" w:rsidRPr="009311BA">
        <w:rPr>
          <w:rFonts w:cs="David" w:hint="cs"/>
          <w:sz w:val="24"/>
          <w:szCs w:val="24"/>
          <w:rtl/>
        </w:rPr>
        <w:t>להזיק לחברו על ידי עצם ההליך המשפטי.</w:t>
      </w:r>
      <w:r w:rsidR="00FD0D59" w:rsidRPr="00F97062">
        <w:rPr>
          <w:rStyle w:val="af0"/>
          <w:rtl/>
        </w:rPr>
        <w:endnoteReference w:id="9"/>
      </w:r>
    </w:p>
    <w:p w14:paraId="05C8414E" w14:textId="1D35ADC3" w:rsidR="00C454BB" w:rsidRPr="00AD65A5" w:rsidRDefault="009311BA" w:rsidP="00166172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4. דין מרומה</w:t>
      </w:r>
      <w:r w:rsidR="00FD0D59" w:rsidRPr="009311BA">
        <w:rPr>
          <w:rFonts w:cs="David" w:hint="cs"/>
          <w:b/>
          <w:bCs/>
          <w:sz w:val="24"/>
          <w:szCs w:val="24"/>
          <w:rtl/>
        </w:rPr>
        <w:t xml:space="preserve"> </w:t>
      </w:r>
      <w:r w:rsidRPr="009311BA">
        <w:rPr>
          <w:rFonts w:cs="David"/>
          <w:sz w:val="24"/>
          <w:szCs w:val="24"/>
          <w:rtl/>
        </w:rPr>
        <w:t>–</w:t>
      </w:r>
      <w:r w:rsidR="00EA3452">
        <w:rPr>
          <w:rFonts w:cs="David" w:hint="cs"/>
          <w:sz w:val="24"/>
          <w:szCs w:val="24"/>
          <w:rtl/>
        </w:rPr>
        <w:t xml:space="preserve"> </w:t>
      </w:r>
      <w:r w:rsidR="00FD0D59" w:rsidRPr="009311BA">
        <w:rPr>
          <w:rFonts w:cs="David" w:hint="cs"/>
          <w:sz w:val="24"/>
          <w:szCs w:val="24"/>
          <w:rtl/>
        </w:rPr>
        <w:t xml:space="preserve">ההלכה </w:t>
      </w:r>
      <w:r w:rsidR="00EA3452">
        <w:rPr>
          <w:rFonts w:cs="David" w:hint="cs"/>
          <w:sz w:val="24"/>
          <w:szCs w:val="24"/>
          <w:rtl/>
        </w:rPr>
        <w:t xml:space="preserve">מורה </w:t>
      </w:r>
      <w:r w:rsidR="00FD0D59" w:rsidRPr="009311BA">
        <w:rPr>
          <w:rFonts w:cs="David" w:hint="cs"/>
          <w:sz w:val="24"/>
          <w:szCs w:val="24"/>
          <w:rtl/>
        </w:rPr>
        <w:t xml:space="preserve">כי </w:t>
      </w:r>
      <w:r w:rsidR="00EA3452">
        <w:rPr>
          <w:rFonts w:cs="David" w:hint="cs"/>
          <w:sz w:val="24"/>
          <w:szCs w:val="24"/>
          <w:rtl/>
        </w:rPr>
        <w:t xml:space="preserve">דיין </w:t>
      </w:r>
      <w:r w:rsidR="00FD0D59" w:rsidRPr="009311BA">
        <w:rPr>
          <w:rFonts w:cs="David" w:hint="cs"/>
          <w:sz w:val="24"/>
          <w:szCs w:val="24"/>
          <w:rtl/>
        </w:rPr>
        <w:t xml:space="preserve">רשאי </w:t>
      </w:r>
      <w:r w:rsidR="00EA3452">
        <w:rPr>
          <w:rFonts w:cs="David" w:hint="cs"/>
          <w:sz w:val="24"/>
          <w:szCs w:val="24"/>
          <w:rtl/>
        </w:rPr>
        <w:t xml:space="preserve">להסתלק מן הדין </w:t>
      </w:r>
      <w:r w:rsidR="00FD0D59" w:rsidRPr="009311BA">
        <w:rPr>
          <w:rFonts w:cs="David" w:hint="cs"/>
          <w:sz w:val="24"/>
          <w:szCs w:val="24"/>
          <w:rtl/>
        </w:rPr>
        <w:t xml:space="preserve">אם נשתכנע </w:t>
      </w:r>
      <w:r w:rsidR="00FD0D59" w:rsidRPr="009311BA">
        <w:rPr>
          <w:rFonts w:cs="David"/>
          <w:sz w:val="24"/>
          <w:szCs w:val="24"/>
          <w:rtl/>
        </w:rPr>
        <w:t>–</w:t>
      </w:r>
      <w:r w:rsidR="00EA3452">
        <w:rPr>
          <w:rFonts w:cs="David" w:hint="cs"/>
          <w:sz w:val="24"/>
          <w:szCs w:val="24"/>
          <w:rtl/>
        </w:rPr>
        <w:t xml:space="preserve"> </w:t>
      </w:r>
      <w:r w:rsidR="00FD0D59" w:rsidRPr="009311BA">
        <w:rPr>
          <w:rFonts w:cs="David" w:hint="cs"/>
          <w:sz w:val="24"/>
          <w:szCs w:val="24"/>
          <w:rtl/>
        </w:rPr>
        <w:t xml:space="preserve">אף שאין לו ראיה גמורה לכך </w:t>
      </w:r>
      <w:r w:rsidR="00FD0D59" w:rsidRPr="009311BA">
        <w:rPr>
          <w:rFonts w:cs="David"/>
          <w:sz w:val="24"/>
          <w:szCs w:val="24"/>
          <w:rtl/>
        </w:rPr>
        <w:t>–</w:t>
      </w:r>
      <w:r w:rsidR="00FD0D59" w:rsidRPr="009311BA">
        <w:rPr>
          <w:rFonts w:cs="David" w:hint="cs"/>
          <w:sz w:val="24"/>
          <w:szCs w:val="24"/>
          <w:rtl/>
        </w:rPr>
        <w:t xml:space="preserve"> כי התובע </w:t>
      </w:r>
      <w:r w:rsidR="00EA3452">
        <w:rPr>
          <w:rFonts w:cs="David" w:hint="cs"/>
          <w:sz w:val="24"/>
          <w:szCs w:val="24"/>
          <w:rtl/>
        </w:rPr>
        <w:t>רמאי וראיותיו מזויפות; ולא עוד אלא</w:t>
      </w:r>
      <w:r w:rsidR="00C454BB" w:rsidRPr="009311BA">
        <w:rPr>
          <w:rFonts w:cs="David" w:hint="cs"/>
          <w:sz w:val="24"/>
          <w:szCs w:val="24"/>
          <w:rtl/>
        </w:rPr>
        <w:t xml:space="preserve"> </w:t>
      </w:r>
      <w:r w:rsidR="00EA3452">
        <w:rPr>
          <w:rFonts w:cs="David" w:hint="cs"/>
          <w:sz w:val="24"/>
          <w:szCs w:val="24"/>
          <w:rtl/>
        </w:rPr>
        <w:t>ש</w:t>
      </w:r>
      <w:r w:rsidR="00C454BB" w:rsidRPr="009311BA">
        <w:rPr>
          <w:rFonts w:cs="David" w:hint="cs"/>
          <w:sz w:val="24"/>
          <w:szCs w:val="24"/>
          <w:rtl/>
        </w:rPr>
        <w:t xml:space="preserve">אם </w:t>
      </w:r>
      <w:r w:rsidR="00EA3452">
        <w:rPr>
          <w:rFonts w:cs="David" w:hint="cs"/>
          <w:sz w:val="24"/>
          <w:szCs w:val="24"/>
          <w:rtl/>
        </w:rPr>
        <w:t>מדובר ב</w:t>
      </w:r>
      <w:r w:rsidR="00C454BB" w:rsidRPr="009311BA">
        <w:rPr>
          <w:rFonts w:cs="David" w:hint="cs"/>
          <w:sz w:val="24"/>
          <w:szCs w:val="24"/>
          <w:rtl/>
        </w:rPr>
        <w:t>דיין הגדול שב</w:t>
      </w:r>
      <w:r w:rsidR="00EA3452">
        <w:rPr>
          <w:rFonts w:cs="David" w:hint="cs"/>
          <w:sz w:val="24"/>
          <w:szCs w:val="24"/>
          <w:rtl/>
        </w:rPr>
        <w:t xml:space="preserve">אותו </w:t>
      </w:r>
      <w:r w:rsidR="00C454BB" w:rsidRPr="009311BA">
        <w:rPr>
          <w:rFonts w:cs="David" w:hint="cs"/>
          <w:sz w:val="24"/>
          <w:szCs w:val="24"/>
          <w:rtl/>
        </w:rPr>
        <w:t>מקום, יכול הוא לסלק את התביעה לגמרי</w:t>
      </w:r>
      <w:r w:rsidR="00C454BB">
        <w:rPr>
          <w:rStyle w:val="af0"/>
          <w:sz w:val="24"/>
          <w:szCs w:val="24"/>
          <w:rtl/>
        </w:rPr>
        <w:endnoteReference w:id="10"/>
      </w:r>
      <w:r w:rsidR="00C454BB" w:rsidRPr="009311BA">
        <w:rPr>
          <w:rFonts w:cs="David" w:hint="cs"/>
          <w:sz w:val="24"/>
          <w:szCs w:val="24"/>
          <w:rtl/>
        </w:rPr>
        <w:t xml:space="preserve"> </w:t>
      </w:r>
      <w:r w:rsidR="00EA3452">
        <w:rPr>
          <w:rFonts w:cs="David" w:hint="cs"/>
          <w:sz w:val="24"/>
          <w:szCs w:val="24"/>
          <w:rtl/>
        </w:rPr>
        <w:t xml:space="preserve"> </w:t>
      </w:r>
      <w:r w:rsidR="00EA3452">
        <w:rPr>
          <w:rFonts w:cs="David"/>
          <w:sz w:val="24"/>
          <w:szCs w:val="24"/>
          <w:rtl/>
        </w:rPr>
        <w:t>–</w:t>
      </w:r>
      <w:r w:rsidR="00EA3452">
        <w:rPr>
          <w:rFonts w:cs="David" w:hint="cs"/>
          <w:sz w:val="24"/>
          <w:szCs w:val="24"/>
          <w:rtl/>
        </w:rPr>
        <w:t xml:space="preserve"> וכך הוא הדין </w:t>
      </w:r>
      <w:r w:rsidR="00C454BB" w:rsidRPr="009311BA">
        <w:rPr>
          <w:rFonts w:cs="David" w:hint="cs"/>
          <w:sz w:val="24"/>
          <w:szCs w:val="24"/>
          <w:rtl/>
        </w:rPr>
        <w:t xml:space="preserve">בין אם החשד נובע מחמת </w:t>
      </w:r>
      <w:r w:rsidR="00EA3452">
        <w:rPr>
          <w:rFonts w:cs="David" w:hint="cs"/>
          <w:sz w:val="24"/>
          <w:szCs w:val="24"/>
          <w:rtl/>
        </w:rPr>
        <w:t xml:space="preserve">הנסיבות של המקרה הנידון, </w:t>
      </w:r>
      <w:r w:rsidR="00C454BB" w:rsidRPr="009311BA">
        <w:rPr>
          <w:rFonts w:cs="David" w:hint="cs"/>
          <w:sz w:val="24"/>
          <w:szCs w:val="24"/>
          <w:rtl/>
        </w:rPr>
        <w:t>בין</w:t>
      </w:r>
      <w:r w:rsidR="00EA3452">
        <w:rPr>
          <w:rFonts w:cs="David" w:hint="cs"/>
          <w:sz w:val="24"/>
          <w:szCs w:val="24"/>
          <w:rtl/>
        </w:rPr>
        <w:t xml:space="preserve"> אם הוא נובע מחמת עברו של התובע</w:t>
      </w:r>
      <w:r w:rsidR="00C454BB" w:rsidRPr="009311BA">
        <w:rPr>
          <w:rFonts w:cs="David" w:hint="cs"/>
          <w:sz w:val="24"/>
          <w:szCs w:val="24"/>
          <w:rtl/>
        </w:rPr>
        <w:t xml:space="preserve"> שהוחזק לזייף ולרמות.</w:t>
      </w:r>
      <w:r w:rsidR="00C454BB">
        <w:rPr>
          <w:rStyle w:val="af0"/>
          <w:sz w:val="24"/>
          <w:szCs w:val="24"/>
          <w:rtl/>
        </w:rPr>
        <w:endnoteReference w:id="11"/>
      </w:r>
    </w:p>
    <w:p w14:paraId="6E7E0082" w14:textId="2F57CC96" w:rsidR="00B67482" w:rsidRPr="009311BA" w:rsidRDefault="00A81E14" w:rsidP="0016617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9311BA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9311BA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תומכים בהצעת החוק, אך מסייגים אותה דווקא למצב </w:t>
      </w:r>
      <w:r w:rsidR="009311BA">
        <w:rPr>
          <w:rFonts w:cs="David" w:hint="cs"/>
          <w:b/>
          <w:bCs/>
          <w:sz w:val="24"/>
          <w:szCs w:val="24"/>
          <w:rtl/>
        </w:rPr>
        <w:t>ש</w:t>
      </w:r>
      <w:r w:rsidR="00BC300D">
        <w:rPr>
          <w:rFonts w:cs="David" w:hint="cs"/>
          <w:b/>
          <w:bCs/>
          <w:sz w:val="24"/>
          <w:szCs w:val="24"/>
          <w:rtl/>
        </w:rPr>
        <w:t>בו התביעה</w:t>
      </w:r>
      <w:r w:rsidR="009311BA">
        <w:rPr>
          <w:rFonts w:cs="David" w:hint="cs"/>
          <w:b/>
          <w:bCs/>
          <w:sz w:val="24"/>
          <w:szCs w:val="24"/>
          <w:rtl/>
        </w:rPr>
        <w:t xml:space="preserve"> שאותה רוצים לחסום כעת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 אינה כוללת </w:t>
      </w:r>
      <w:r w:rsidR="009311BA">
        <w:rPr>
          <w:rFonts w:cs="David" w:hint="cs"/>
          <w:b/>
          <w:bCs/>
          <w:sz w:val="24"/>
          <w:szCs w:val="24"/>
          <w:rtl/>
        </w:rPr>
        <w:t>מרכיב כספי, או לחילופין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 למצב </w:t>
      </w:r>
      <w:r w:rsidR="009311BA">
        <w:rPr>
          <w:rFonts w:cs="David" w:hint="cs"/>
          <w:b/>
          <w:bCs/>
          <w:sz w:val="24"/>
          <w:szCs w:val="24"/>
          <w:rtl/>
        </w:rPr>
        <w:t>ש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בו התובע הוחזק </w:t>
      </w:r>
      <w:r w:rsidR="00EA3452">
        <w:rPr>
          <w:rFonts w:cs="David" w:hint="cs"/>
          <w:b/>
          <w:bCs/>
          <w:sz w:val="24"/>
          <w:szCs w:val="24"/>
          <w:rtl/>
        </w:rPr>
        <w:t>(</w:t>
      </w:r>
      <w:r w:rsidR="00BC300D">
        <w:rPr>
          <w:rFonts w:cs="David" w:hint="cs"/>
          <w:b/>
          <w:bCs/>
          <w:sz w:val="24"/>
          <w:szCs w:val="24"/>
          <w:rtl/>
        </w:rPr>
        <w:t>ב</w:t>
      </w:r>
      <w:r w:rsidR="00C702BF">
        <w:rPr>
          <w:rFonts w:cs="David" w:hint="cs"/>
          <w:b/>
          <w:bCs/>
          <w:sz w:val="24"/>
          <w:szCs w:val="24"/>
          <w:rtl/>
        </w:rPr>
        <w:t xml:space="preserve">מסגרת </w:t>
      </w:r>
      <w:r w:rsidR="00BC300D">
        <w:rPr>
          <w:rFonts w:cs="David" w:hint="cs"/>
          <w:b/>
          <w:bCs/>
          <w:sz w:val="24"/>
          <w:szCs w:val="24"/>
          <w:rtl/>
        </w:rPr>
        <w:t>תביעות קודמות</w:t>
      </w:r>
      <w:r w:rsidR="00EA3452">
        <w:rPr>
          <w:rFonts w:cs="David" w:hint="cs"/>
          <w:b/>
          <w:bCs/>
          <w:sz w:val="24"/>
          <w:szCs w:val="24"/>
          <w:rtl/>
        </w:rPr>
        <w:t>)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 ל</w:t>
      </w:r>
      <w:r w:rsidR="00C702BF">
        <w:rPr>
          <w:rFonts w:cs="David" w:hint="cs"/>
          <w:b/>
          <w:bCs/>
          <w:sz w:val="24"/>
          <w:szCs w:val="24"/>
          <w:rtl/>
        </w:rPr>
        <w:t>אדם</w:t>
      </w:r>
      <w:r w:rsidR="00BC300D">
        <w:rPr>
          <w:rFonts w:cs="David" w:hint="cs"/>
          <w:b/>
          <w:bCs/>
          <w:sz w:val="24"/>
          <w:szCs w:val="24"/>
          <w:rtl/>
        </w:rPr>
        <w:t xml:space="preserve"> שבכוונתו להוציא כספים במרמה.</w:t>
      </w:r>
      <w:r w:rsidR="009311BA">
        <w:rPr>
          <w:rFonts w:cs="David" w:hint="cs"/>
          <w:b/>
          <w:bCs/>
          <w:sz w:val="24"/>
          <w:szCs w:val="24"/>
          <w:rtl/>
        </w:rPr>
        <w:t xml:space="preserve"> </w:t>
      </w:r>
      <w:r w:rsidR="003121D3">
        <w:rPr>
          <w:rFonts w:cs="David" w:hint="cs"/>
          <w:b/>
          <w:bCs/>
          <w:sz w:val="24"/>
          <w:szCs w:val="24"/>
          <w:rtl/>
        </w:rPr>
        <w:t xml:space="preserve">כמו כן, מוצע לקבוע </w:t>
      </w:r>
      <w:r w:rsidR="00C702BF">
        <w:rPr>
          <w:rFonts w:cs="David" w:hint="cs"/>
          <w:b/>
          <w:bCs/>
          <w:sz w:val="24"/>
          <w:szCs w:val="24"/>
          <w:rtl/>
        </w:rPr>
        <w:t xml:space="preserve">בחוק </w:t>
      </w:r>
      <w:r w:rsidR="003121D3">
        <w:rPr>
          <w:rFonts w:cs="David" w:hint="cs"/>
          <w:b/>
          <w:bCs/>
          <w:sz w:val="24"/>
          <w:szCs w:val="24"/>
          <w:rtl/>
        </w:rPr>
        <w:t xml:space="preserve">אמצעים </w:t>
      </w:r>
      <w:r w:rsidR="00C702BF">
        <w:rPr>
          <w:rFonts w:cs="David" w:hint="cs"/>
          <w:b/>
          <w:bCs/>
          <w:sz w:val="24"/>
          <w:szCs w:val="24"/>
          <w:rtl/>
        </w:rPr>
        <w:t>הקודמים לחסימה (</w:t>
      </w:r>
      <w:r w:rsidR="003121D3">
        <w:rPr>
          <w:rFonts w:cs="David" w:hint="cs"/>
          <w:b/>
          <w:bCs/>
          <w:sz w:val="24"/>
          <w:szCs w:val="24"/>
          <w:rtl/>
        </w:rPr>
        <w:t>כגון הוצאות משפט כפולות</w:t>
      </w:r>
      <w:r w:rsidR="00C702BF">
        <w:rPr>
          <w:rFonts w:cs="David" w:hint="cs"/>
          <w:b/>
          <w:bCs/>
          <w:sz w:val="24"/>
          <w:szCs w:val="24"/>
          <w:rtl/>
        </w:rPr>
        <w:t>)</w:t>
      </w:r>
      <w:r w:rsidR="00EA3452">
        <w:rPr>
          <w:rFonts w:cs="David" w:hint="cs"/>
          <w:b/>
          <w:bCs/>
          <w:sz w:val="24"/>
          <w:szCs w:val="24"/>
          <w:rtl/>
        </w:rPr>
        <w:t xml:space="preserve">, כאשר </w:t>
      </w:r>
      <w:r w:rsidR="003121D3">
        <w:rPr>
          <w:rFonts w:cs="David" w:hint="cs"/>
          <w:b/>
          <w:bCs/>
          <w:sz w:val="24"/>
          <w:szCs w:val="24"/>
          <w:rtl/>
        </w:rPr>
        <w:t xml:space="preserve">רק </w:t>
      </w:r>
      <w:r w:rsidR="00EA3452">
        <w:rPr>
          <w:rFonts w:cs="David" w:hint="cs"/>
          <w:b/>
          <w:bCs/>
          <w:sz w:val="24"/>
          <w:szCs w:val="24"/>
          <w:rtl/>
        </w:rPr>
        <w:t xml:space="preserve">אם </w:t>
      </w:r>
      <w:r w:rsidR="00C702BF">
        <w:rPr>
          <w:rFonts w:cs="David" w:hint="cs"/>
          <w:b/>
          <w:bCs/>
          <w:sz w:val="24"/>
          <w:szCs w:val="24"/>
          <w:rtl/>
        </w:rPr>
        <w:t>התובע לא יירתע מהן</w:t>
      </w:r>
      <w:r w:rsidR="003121D3">
        <w:rPr>
          <w:rFonts w:cs="David" w:hint="cs"/>
          <w:b/>
          <w:bCs/>
          <w:sz w:val="24"/>
          <w:szCs w:val="24"/>
          <w:rtl/>
        </w:rPr>
        <w:t xml:space="preserve"> </w:t>
      </w:r>
      <w:r w:rsidR="00EA3452">
        <w:rPr>
          <w:rFonts w:cs="David"/>
          <w:b/>
          <w:bCs/>
          <w:sz w:val="24"/>
          <w:szCs w:val="24"/>
          <w:rtl/>
        </w:rPr>
        <w:t>–</w:t>
      </w:r>
      <w:r w:rsidR="00EA3452">
        <w:rPr>
          <w:rFonts w:cs="David" w:hint="cs"/>
          <w:b/>
          <w:bCs/>
          <w:sz w:val="24"/>
          <w:szCs w:val="24"/>
          <w:rtl/>
        </w:rPr>
        <w:t xml:space="preserve"> </w:t>
      </w:r>
      <w:r w:rsidR="003121D3">
        <w:rPr>
          <w:rFonts w:cs="David" w:hint="cs"/>
          <w:b/>
          <w:bCs/>
          <w:sz w:val="24"/>
          <w:szCs w:val="24"/>
          <w:rtl/>
        </w:rPr>
        <w:t>תוטל</w:t>
      </w:r>
      <w:r w:rsidR="00C702BF">
        <w:rPr>
          <w:rFonts w:cs="David" w:hint="cs"/>
          <w:b/>
          <w:bCs/>
          <w:sz w:val="24"/>
          <w:szCs w:val="24"/>
          <w:rtl/>
        </w:rPr>
        <w:t xml:space="preserve"> עליו</w:t>
      </w:r>
      <w:r w:rsidR="003121D3">
        <w:rPr>
          <w:rFonts w:cs="David" w:hint="cs"/>
          <w:b/>
          <w:bCs/>
          <w:sz w:val="24"/>
          <w:szCs w:val="24"/>
          <w:rtl/>
        </w:rPr>
        <w:t xml:space="preserve"> חסימה כללית.</w:t>
      </w:r>
    </w:p>
    <w:sectPr w:rsidR="00B67482" w:rsidRPr="009311BA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9417" w14:textId="77777777" w:rsidR="001273F5" w:rsidRDefault="001273F5">
      <w:r>
        <w:separator/>
      </w:r>
    </w:p>
  </w:endnote>
  <w:endnote w:type="continuationSeparator" w:id="0">
    <w:p w14:paraId="6B079B11" w14:textId="77777777" w:rsidR="001273F5" w:rsidRDefault="001273F5">
      <w:r>
        <w:continuationSeparator/>
      </w:r>
    </w:p>
  </w:endnote>
  <w:endnote w:id="1">
    <w:p w14:paraId="3C4459BC" w14:textId="23F22513" w:rsidR="00D77D4F" w:rsidRPr="00D77D4F" w:rsidRDefault="00D77D4F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Pr="00D77D4F">
        <w:rPr>
          <w:rtl/>
        </w:rPr>
        <w:t>"אין לו לשופט, לא חרב ולא ארנק. כל שיש לו הוא אמון הציבור בו. בית־המשפט אינו יכול לתפקד כראוי מבלי שאמון הציבור נתון לו... זאת יש לדעת: אמון הציבור הוא נכס שברירי. יש לטפחו ולשמרו". אהרון ברק "תפקידו של בית-משפט עליון בחברה דמוקרטית" מבחר כתבים כרך א' 910 (תש"ס)</w:t>
      </w:r>
    </w:p>
  </w:endnote>
  <w:endnote w:id="2">
    <w:p w14:paraId="63A2A0A9" w14:textId="4012F15C" w:rsidR="00D77D4F" w:rsidRDefault="00D77D4F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Pr="00D77D4F">
        <w:rPr>
          <w:rtl/>
        </w:rPr>
        <w:t xml:space="preserve">תקנה 100(2) לתקנות סדר הדין האזרחי </w:t>
      </w:r>
      <w:r w:rsidRPr="00D77D4F">
        <w:rPr>
          <w:rtl/>
        </w:rPr>
        <w:t>התשמ"ד – 1984</w:t>
      </w:r>
    </w:p>
  </w:endnote>
  <w:endnote w:id="3">
    <w:p w14:paraId="03E7DFD1" w14:textId="38DD20EB" w:rsidR="00DF7DF6" w:rsidRDefault="00DF7DF6" w:rsidP="00B11AC0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9311BA">
        <w:rPr>
          <w:rFonts w:hint="cs"/>
          <w:rtl/>
        </w:rPr>
        <w:t>כך ה</w:t>
      </w:r>
      <w:r>
        <w:rPr>
          <w:rFonts w:hint="cs"/>
          <w:rtl/>
        </w:rPr>
        <w:t>סביר הרמב"ן את מ</w:t>
      </w:r>
      <w:r w:rsidR="009311BA">
        <w:rPr>
          <w:rFonts w:hint="cs"/>
          <w:rtl/>
        </w:rPr>
        <w:t xml:space="preserve">טרתה העיקרית של </w:t>
      </w:r>
      <w:r w:rsidR="0073650B">
        <w:rPr>
          <w:rFonts w:hint="cs"/>
          <w:rtl/>
        </w:rPr>
        <w:t xml:space="preserve">הצעת </w:t>
      </w:r>
      <w:r w:rsidR="009311BA">
        <w:rPr>
          <w:rFonts w:hint="cs"/>
          <w:rtl/>
        </w:rPr>
        <w:t xml:space="preserve">יתרו </w:t>
      </w:r>
      <w:r>
        <w:rPr>
          <w:rFonts w:hint="cs"/>
          <w:rtl/>
        </w:rPr>
        <w:t>למנות דיינים נוספים, אף שמומחיותם תיפול מזו של משה (</w:t>
      </w:r>
      <w:r w:rsidR="009311BA">
        <w:rPr>
          <w:rFonts w:hint="cs"/>
          <w:rtl/>
        </w:rPr>
        <w:t>ראה פירוש הרמב"ן לתורה,</w:t>
      </w:r>
      <w:r>
        <w:rPr>
          <w:rFonts w:hint="cs"/>
          <w:rtl/>
        </w:rPr>
        <w:t xml:space="preserve"> </w:t>
      </w:r>
      <w:r w:rsidR="009311BA">
        <w:rPr>
          <w:rFonts w:hint="cs"/>
          <w:rtl/>
        </w:rPr>
        <w:t xml:space="preserve">שמות </w:t>
      </w:r>
      <w:r w:rsidR="009311BA">
        <w:rPr>
          <w:rFonts w:hint="cs"/>
          <w:rtl/>
        </w:rPr>
        <w:t>י</w:t>
      </w:r>
      <w:r>
        <w:rPr>
          <w:rFonts w:hint="cs"/>
          <w:rtl/>
        </w:rPr>
        <w:t>ח,</w:t>
      </w:r>
      <w:r w:rsidR="009311BA">
        <w:rPr>
          <w:rFonts w:hint="cs"/>
          <w:rtl/>
        </w:rPr>
        <w:t xml:space="preserve"> </w:t>
      </w:r>
      <w:r>
        <w:rPr>
          <w:rFonts w:hint="cs"/>
          <w:rtl/>
        </w:rPr>
        <w:t xml:space="preserve">כב). ראה גם מאמרה </w:t>
      </w:r>
      <w:r w:rsidR="009311BA">
        <w:rPr>
          <w:rFonts w:hint="cs"/>
          <w:rtl/>
        </w:rPr>
        <w:t>של נעמה סט, '</w:t>
      </w:r>
      <w:r w:rsidRPr="00061BDA">
        <w:rPr>
          <w:rtl/>
        </w:rPr>
        <w:t>על נגישות למשפט כיסוד לדין צדק</w:t>
      </w:r>
      <w:r w:rsidR="009311BA">
        <w:rPr>
          <w:rFonts w:hint="cs"/>
          <w:rtl/>
        </w:rPr>
        <w:t>'</w:t>
      </w:r>
      <w:r>
        <w:rPr>
          <w:rFonts w:hint="cs"/>
          <w:rtl/>
        </w:rPr>
        <w:t xml:space="preserve">, דף שבועי </w:t>
      </w:r>
      <w:r w:rsidR="009311BA">
        <w:rPr>
          <w:rtl/>
        </w:rPr>
        <w:t>–</w:t>
      </w:r>
      <w:r w:rsidR="009311BA">
        <w:rPr>
          <w:rFonts w:hint="cs"/>
          <w:rtl/>
        </w:rPr>
        <w:t xml:space="preserve"> </w:t>
      </w:r>
      <w:r>
        <w:rPr>
          <w:rFonts w:hint="cs"/>
          <w:rtl/>
        </w:rPr>
        <w:t>אוניברסיטת בר</w:t>
      </w:r>
      <w:r w:rsidR="00B11AC0">
        <w:rPr>
          <w:rFonts w:ascii="David" w:hAnsi="David"/>
          <w:snapToGrid w:val="0"/>
          <w:color w:val="000000"/>
          <w:sz w:val="24"/>
          <w:szCs w:val="24"/>
          <w:rtl/>
          <w:lang w:eastAsia="ja-JP"/>
        </w:rPr>
        <w:t>־</w:t>
      </w:r>
      <w:r>
        <w:rPr>
          <w:rFonts w:hint="cs"/>
          <w:rtl/>
        </w:rPr>
        <w:t>אילן,</w:t>
      </w:r>
      <w:r w:rsidR="009311BA">
        <w:rPr>
          <w:rFonts w:hint="cs"/>
          <w:rtl/>
        </w:rPr>
        <w:t xml:space="preserve"> גיליון 954 (</w:t>
      </w:r>
      <w:r>
        <w:rPr>
          <w:rFonts w:hint="cs"/>
          <w:rtl/>
        </w:rPr>
        <w:t>פרשת משפטים תשע"ב</w:t>
      </w:r>
      <w:r w:rsidR="009311BA">
        <w:rPr>
          <w:rFonts w:hint="cs"/>
          <w:rtl/>
        </w:rPr>
        <w:t>)</w:t>
      </w:r>
      <w:r>
        <w:rPr>
          <w:rFonts w:hint="cs"/>
          <w:rtl/>
        </w:rPr>
        <w:t>.</w:t>
      </w:r>
    </w:p>
  </w:endnote>
  <w:endnote w:id="4">
    <w:p w14:paraId="7181FAD6" w14:textId="77777777" w:rsidR="00DB1ECD" w:rsidRDefault="00DB1ECD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שולחן ערוך</w:t>
      </w:r>
      <w:r w:rsidR="009311BA">
        <w:rPr>
          <w:rFonts w:hint="cs"/>
          <w:rtl/>
        </w:rPr>
        <w:t>,</w:t>
      </w:r>
      <w:r>
        <w:rPr>
          <w:rFonts w:hint="cs"/>
          <w:rtl/>
        </w:rPr>
        <w:t xml:space="preserve"> ח</w:t>
      </w:r>
      <w:r w:rsidR="009311BA">
        <w:rPr>
          <w:rFonts w:hint="cs"/>
          <w:rtl/>
        </w:rPr>
        <w:t>ו</w:t>
      </w:r>
      <w:r>
        <w:rPr>
          <w:rFonts w:hint="cs"/>
          <w:rtl/>
        </w:rPr>
        <w:t>שן משפט, סימן ח</w:t>
      </w:r>
      <w:r w:rsidR="009311BA">
        <w:rPr>
          <w:rFonts w:hint="cs"/>
          <w:rtl/>
        </w:rPr>
        <w:t>, סעיף ד; וראה גם תורה תמימה, במדבר י</w:t>
      </w:r>
      <w:r>
        <w:rPr>
          <w:rFonts w:hint="cs"/>
          <w:rtl/>
        </w:rPr>
        <w:t>א,</w:t>
      </w:r>
      <w:r w:rsidR="009311BA">
        <w:rPr>
          <w:rFonts w:hint="cs"/>
          <w:rtl/>
        </w:rPr>
        <w:t xml:space="preserve"> </w:t>
      </w:r>
      <w:r>
        <w:rPr>
          <w:rFonts w:hint="cs"/>
          <w:rtl/>
        </w:rPr>
        <w:t>יב</w:t>
      </w:r>
      <w:r w:rsidR="009311BA">
        <w:rPr>
          <w:rFonts w:hint="cs"/>
          <w:rtl/>
        </w:rPr>
        <w:t>,</w:t>
      </w:r>
      <w:r>
        <w:rPr>
          <w:rFonts w:hint="cs"/>
          <w:rtl/>
        </w:rPr>
        <w:t xml:space="preserve"> הערה ט.</w:t>
      </w:r>
    </w:p>
  </w:endnote>
  <w:endnote w:id="5">
    <w:p w14:paraId="2280E080" w14:textId="77777777" w:rsidR="006606CC" w:rsidRDefault="006606CC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BC1CBF">
        <w:rPr>
          <w:rFonts w:hint="cs"/>
          <w:rtl/>
        </w:rPr>
        <w:t>בבא מציעא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נה ע"א.</w:t>
      </w:r>
    </w:p>
  </w:endnote>
  <w:endnote w:id="6">
    <w:p w14:paraId="4531529C" w14:textId="77777777" w:rsidR="002B762A" w:rsidRDefault="002B762A" w:rsidP="0073650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בבא קמא פט ע"</w:t>
      </w:r>
      <w:r w:rsidR="003C7BFB">
        <w:rPr>
          <w:rFonts w:hint="cs"/>
          <w:rtl/>
        </w:rPr>
        <w:t>ב; ראה גם במקורות המובאים אצל אליאב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שוחטמן, </w:t>
      </w:r>
      <w:r w:rsidR="0073650B">
        <w:rPr>
          <w:rFonts w:hint="cs"/>
          <w:rtl/>
        </w:rPr>
        <w:t xml:space="preserve">סדר הדין בבית הדין הרבני, ירושלים </w:t>
      </w:r>
      <w:r>
        <w:rPr>
          <w:rFonts w:hint="cs"/>
          <w:rtl/>
        </w:rPr>
        <w:t>תשע"א,</w:t>
      </w:r>
      <w:r w:rsidR="0073650B">
        <w:rPr>
          <w:rFonts w:hint="cs"/>
          <w:rtl/>
        </w:rPr>
        <w:t xml:space="preserve"> כרך א,</w:t>
      </w:r>
      <w:r>
        <w:rPr>
          <w:rFonts w:hint="cs"/>
          <w:rtl/>
        </w:rPr>
        <w:t xml:space="preserve"> עמ' 454.</w:t>
      </w:r>
    </w:p>
  </w:endnote>
  <w:endnote w:id="7">
    <w:p w14:paraId="103B08C9" w14:textId="77777777" w:rsidR="00AD65A5" w:rsidRDefault="00AD65A5" w:rsidP="0073650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73650B">
        <w:rPr>
          <w:rFonts w:hint="cs"/>
          <w:rtl/>
        </w:rPr>
        <w:t>כך ל</w:t>
      </w:r>
      <w:r>
        <w:rPr>
          <w:rFonts w:hint="cs"/>
          <w:rtl/>
        </w:rPr>
        <w:t xml:space="preserve">מד </w:t>
      </w:r>
      <w:r>
        <w:rPr>
          <w:rFonts w:hint="cs"/>
          <w:rtl/>
        </w:rPr>
        <w:t xml:space="preserve">הריטב"א </w:t>
      </w:r>
      <w:r w:rsidR="0073650B">
        <w:rPr>
          <w:rFonts w:hint="cs"/>
          <w:rtl/>
        </w:rPr>
        <w:t>(</w:t>
      </w:r>
      <w:r>
        <w:rPr>
          <w:rFonts w:hint="cs"/>
          <w:rtl/>
        </w:rPr>
        <w:t>בחידושיו ל</w:t>
      </w:r>
      <w:r w:rsidR="0073650B">
        <w:rPr>
          <w:rFonts w:hint="cs"/>
          <w:rtl/>
        </w:rPr>
        <w:t>מסכת בבא בתרא</w:t>
      </w:r>
      <w:r>
        <w:rPr>
          <w:rFonts w:hint="cs"/>
          <w:rtl/>
        </w:rPr>
        <w:t xml:space="preserve"> קסח ע"ב, ד"ה ופריק</w:t>
      </w:r>
      <w:r w:rsidR="0073650B">
        <w:rPr>
          <w:rFonts w:hint="cs"/>
          <w:rtl/>
        </w:rPr>
        <w:t>)</w:t>
      </w:r>
      <w:r w:rsidR="00164BDF">
        <w:rPr>
          <w:rFonts w:hint="cs"/>
          <w:rtl/>
        </w:rPr>
        <w:t xml:space="preserve"> מהסיפור המובא </w:t>
      </w:r>
      <w:r w:rsidR="0073650B">
        <w:rPr>
          <w:rFonts w:hint="cs"/>
          <w:rtl/>
        </w:rPr>
        <w:t xml:space="preserve">שם בתלמוד </w:t>
      </w:r>
      <w:r w:rsidR="00164BDF">
        <w:rPr>
          <w:rFonts w:hint="cs"/>
          <w:rtl/>
        </w:rPr>
        <w:t>על אביי</w:t>
      </w:r>
      <w:r w:rsidR="0073650B">
        <w:rPr>
          <w:rFonts w:hint="cs"/>
          <w:rtl/>
        </w:rPr>
        <w:t xml:space="preserve">; וכלשונו של </w:t>
      </w:r>
      <w:r>
        <w:rPr>
          <w:rFonts w:hint="cs"/>
          <w:rtl/>
        </w:rPr>
        <w:t xml:space="preserve">הרב </w:t>
      </w:r>
      <w:r w:rsidR="0073650B">
        <w:rPr>
          <w:rFonts w:hint="cs"/>
          <w:rtl/>
        </w:rPr>
        <w:t>יצחק זילברשטיין</w:t>
      </w:r>
      <w:r>
        <w:rPr>
          <w:rFonts w:hint="cs"/>
          <w:rtl/>
        </w:rPr>
        <w:t xml:space="preserve"> </w:t>
      </w:r>
      <w:r w:rsidR="0073650B">
        <w:rPr>
          <w:rFonts w:hint="cs"/>
          <w:rtl/>
        </w:rPr>
        <w:t>(ח</w:t>
      </w:r>
      <w:r>
        <w:rPr>
          <w:rFonts w:hint="cs"/>
          <w:rtl/>
        </w:rPr>
        <w:t>שוקי חמד, על אתר</w:t>
      </w:r>
      <w:r w:rsidR="0073650B">
        <w:rPr>
          <w:rFonts w:hint="cs"/>
          <w:rtl/>
        </w:rPr>
        <w:t>)</w:t>
      </w:r>
      <w:r>
        <w:rPr>
          <w:rFonts w:hint="cs"/>
          <w:rtl/>
        </w:rPr>
        <w:t>: "</w:t>
      </w:r>
      <w:r w:rsidR="00164BDF" w:rsidRPr="00164BDF">
        <w:rPr>
          <w:rtl/>
        </w:rPr>
        <w:t>ההטרדה לדיין גורמת לשיבוש במערכת המשפט בעם ישרא</w:t>
      </w:r>
      <w:r w:rsidR="00164BDF">
        <w:rPr>
          <w:rFonts w:hint="cs"/>
          <w:rtl/>
        </w:rPr>
        <w:t>ל".</w:t>
      </w:r>
      <w:r>
        <w:rPr>
          <w:rFonts w:hint="cs"/>
          <w:rtl/>
        </w:rPr>
        <w:t xml:space="preserve"> </w:t>
      </w:r>
    </w:p>
  </w:endnote>
  <w:endnote w:id="8">
    <w:p w14:paraId="43CCBFE4" w14:textId="4DA90322" w:rsidR="00A87FA4" w:rsidRDefault="00A87FA4" w:rsidP="003C7BFB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ההלכה בדרך כלל אינה מטילה חיובי הוצאות על הצד שהפסיד במשפט, כיו</w:t>
      </w:r>
      <w:r w:rsidR="0073650B">
        <w:rPr>
          <w:rFonts w:hint="cs"/>
          <w:rtl/>
        </w:rPr>
        <w:t>ון שהיא רואה את משפט הצדק כעיקר</w:t>
      </w:r>
      <w:r>
        <w:rPr>
          <w:rFonts w:hint="cs"/>
          <w:rtl/>
        </w:rPr>
        <w:t xml:space="preserve"> ואת ה</w:t>
      </w:r>
      <w:r w:rsidR="00617EF4">
        <w:rPr>
          <w:rFonts w:hint="cs"/>
          <w:rtl/>
        </w:rPr>
        <w:t xml:space="preserve">הוצאות הנלוות כנגרמות מעיקר זה </w:t>
      </w:r>
      <w:r w:rsidR="00617EF4">
        <w:rPr>
          <w:rtl/>
        </w:rPr>
        <w:t>–</w:t>
      </w:r>
      <w:r w:rsidR="00617EF4">
        <w:rPr>
          <w:rFonts w:hint="cs"/>
          <w:rtl/>
        </w:rPr>
        <w:t xml:space="preserve"> ו</w:t>
      </w:r>
      <w:r w:rsidR="0073650B">
        <w:rPr>
          <w:rFonts w:hint="cs"/>
          <w:rtl/>
        </w:rPr>
        <w:t xml:space="preserve">ככלל </w:t>
      </w:r>
      <w:r w:rsidR="00617EF4">
        <w:rPr>
          <w:rFonts w:hint="cs"/>
          <w:rtl/>
        </w:rPr>
        <w:t>אין ההלכה מחייבת א</w:t>
      </w:r>
      <w:r w:rsidR="0073650B">
        <w:rPr>
          <w:rFonts w:hint="cs"/>
          <w:rtl/>
        </w:rPr>
        <w:t>דם</w:t>
      </w:r>
      <w:r w:rsidR="00617EF4">
        <w:rPr>
          <w:rFonts w:hint="cs"/>
          <w:rtl/>
        </w:rPr>
        <w:t xml:space="preserve"> שגרם נזק </w:t>
      </w:r>
      <w:r w:rsidR="003C7BFB">
        <w:rPr>
          <w:rFonts w:hint="cs"/>
          <w:rtl/>
        </w:rPr>
        <w:t xml:space="preserve">בעקבות פעולה </w:t>
      </w:r>
      <w:r w:rsidR="00617EF4">
        <w:rPr>
          <w:rFonts w:hint="cs"/>
          <w:rtl/>
        </w:rPr>
        <w:t>מותרת כשלעצמה ('</w:t>
      </w:r>
      <w:r w:rsidR="00617EF4">
        <w:rPr>
          <w:rFonts w:hint="cs"/>
          <w:rtl/>
        </w:rPr>
        <w:t>גרמא'). א</w:t>
      </w:r>
      <w:r w:rsidR="003C7BFB">
        <w:rPr>
          <w:rFonts w:hint="cs"/>
          <w:rtl/>
        </w:rPr>
        <w:t>ומנם</w:t>
      </w:r>
      <w:r w:rsidR="00617EF4">
        <w:rPr>
          <w:rFonts w:hint="cs"/>
          <w:rtl/>
        </w:rPr>
        <w:t xml:space="preserve"> במקרה </w:t>
      </w:r>
      <w:r w:rsidR="003C7BFB">
        <w:rPr>
          <w:rFonts w:hint="cs"/>
          <w:rtl/>
        </w:rPr>
        <w:t>ש</w:t>
      </w:r>
      <w:r w:rsidR="00617EF4">
        <w:rPr>
          <w:rFonts w:hint="cs"/>
          <w:rtl/>
        </w:rPr>
        <w:t xml:space="preserve">בו ברור כי מטרת התובע מלכתחילה הייתה להזיק </w:t>
      </w:r>
      <w:r w:rsidR="003C7BFB">
        <w:rPr>
          <w:rFonts w:hint="cs"/>
          <w:rtl/>
        </w:rPr>
        <w:t>ל</w:t>
      </w:r>
      <w:r w:rsidR="00617EF4">
        <w:rPr>
          <w:rFonts w:hint="cs"/>
          <w:rtl/>
        </w:rPr>
        <w:t xml:space="preserve">נתבע, </w:t>
      </w:r>
      <w:r w:rsidR="003C7BFB">
        <w:rPr>
          <w:rFonts w:hint="cs"/>
          <w:rtl/>
        </w:rPr>
        <w:t>יש לראות</w:t>
      </w:r>
      <w:r w:rsidR="00617EF4">
        <w:rPr>
          <w:rFonts w:hint="cs"/>
          <w:rtl/>
        </w:rPr>
        <w:t xml:space="preserve"> את פעולת התביעה כפעולה של היזק ו</w:t>
      </w:r>
      <w:r w:rsidR="003C7BFB">
        <w:rPr>
          <w:rFonts w:hint="cs"/>
          <w:rtl/>
        </w:rPr>
        <w:t xml:space="preserve">לפיכך יש להטיל בגינה </w:t>
      </w:r>
      <w:r w:rsidR="00617EF4">
        <w:rPr>
          <w:rFonts w:hint="cs"/>
          <w:rtl/>
        </w:rPr>
        <w:t xml:space="preserve">חיוב הוצאות (פסקי דין רבניים, חלק י, עמ' 15; ובהרחבה אצל </w:t>
      </w:r>
      <w:r w:rsidR="003C7BFB">
        <w:rPr>
          <w:rFonts w:hint="cs"/>
          <w:rtl/>
        </w:rPr>
        <w:t xml:space="preserve">אליאב </w:t>
      </w:r>
      <w:r w:rsidR="00617EF4">
        <w:rPr>
          <w:rFonts w:hint="cs"/>
          <w:rtl/>
        </w:rPr>
        <w:t xml:space="preserve">שוחטמן, </w:t>
      </w:r>
      <w:r w:rsidR="003C7BFB">
        <w:rPr>
          <w:rFonts w:hint="cs"/>
          <w:rtl/>
        </w:rPr>
        <w:t>'</w:t>
      </w:r>
      <w:r w:rsidR="00617EF4" w:rsidRPr="00617EF4">
        <w:rPr>
          <w:rtl/>
        </w:rPr>
        <w:t>החיוב בהוצא</w:t>
      </w:r>
      <w:r w:rsidR="003C7BFB">
        <w:rPr>
          <w:rtl/>
        </w:rPr>
        <w:t>ות משפט בפסיקת בתי הדין הרבניים</w:t>
      </w:r>
      <w:r w:rsidR="003C7BFB">
        <w:rPr>
          <w:rFonts w:hint="cs"/>
          <w:rtl/>
        </w:rPr>
        <w:t>'</w:t>
      </w:r>
      <w:r w:rsidR="003C7BFB">
        <w:rPr>
          <w:rtl/>
        </w:rPr>
        <w:t>, דיני ישראל</w:t>
      </w:r>
      <w:r w:rsidR="00617EF4" w:rsidRPr="00617EF4">
        <w:rPr>
          <w:rtl/>
        </w:rPr>
        <w:t>, י</w:t>
      </w:r>
      <w:r w:rsidR="003C7BFB">
        <w:rPr>
          <w:rtl/>
        </w:rPr>
        <w:t>–</w:t>
      </w:r>
      <w:r w:rsidR="00617EF4" w:rsidRPr="00617EF4">
        <w:rPr>
          <w:rtl/>
        </w:rPr>
        <w:t>י</w:t>
      </w:r>
      <w:r w:rsidR="00166172">
        <w:rPr>
          <w:rtl/>
        </w:rPr>
        <w:t xml:space="preserve">א  </w:t>
      </w:r>
      <w:r w:rsidR="00166172">
        <w:rPr>
          <w:rFonts w:hint="cs"/>
          <w:rtl/>
        </w:rPr>
        <w:t>[</w:t>
      </w:r>
      <w:r w:rsidR="00617EF4" w:rsidRPr="00617EF4">
        <w:rPr>
          <w:rtl/>
        </w:rPr>
        <w:t>תשמ"א</w:t>
      </w:r>
      <w:r w:rsidR="003C7BFB">
        <w:rPr>
          <w:rtl/>
        </w:rPr>
        <w:t>–</w:t>
      </w:r>
      <w:r w:rsidR="00617EF4" w:rsidRPr="00617EF4">
        <w:rPr>
          <w:rtl/>
        </w:rPr>
        <w:t>ת</w:t>
      </w:r>
      <w:r w:rsidR="00166172">
        <w:rPr>
          <w:rtl/>
        </w:rPr>
        <w:t>שמ"ג</w:t>
      </w:r>
      <w:r w:rsidR="00166172">
        <w:rPr>
          <w:rFonts w:hint="cs"/>
          <w:rtl/>
        </w:rPr>
        <w:t>]</w:t>
      </w:r>
      <w:r w:rsidR="00617EF4" w:rsidRPr="00617EF4">
        <w:rPr>
          <w:rtl/>
        </w:rPr>
        <w:t>, עמ' רסג</w:t>
      </w:r>
      <w:r w:rsidR="003C7BFB">
        <w:rPr>
          <w:rtl/>
        </w:rPr>
        <w:t>–</w:t>
      </w:r>
      <w:r w:rsidR="00617EF4" w:rsidRPr="00617EF4">
        <w:rPr>
          <w:rtl/>
        </w:rPr>
        <w:t>רצז</w:t>
      </w:r>
      <w:r w:rsidR="00617EF4">
        <w:rPr>
          <w:rFonts w:hint="cs"/>
          <w:rtl/>
        </w:rPr>
        <w:t>).</w:t>
      </w:r>
    </w:p>
  </w:endnote>
  <w:endnote w:id="9">
    <w:p w14:paraId="20EA6280" w14:textId="50A3A7C7" w:rsidR="00FD0D59" w:rsidRDefault="00FD0D59" w:rsidP="00166172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3C7BFB">
        <w:rPr>
          <w:rFonts w:hint="cs"/>
          <w:rtl/>
        </w:rPr>
        <w:t>דוגמה</w:t>
      </w:r>
      <w:r>
        <w:rPr>
          <w:rFonts w:hint="cs"/>
          <w:rtl/>
        </w:rPr>
        <w:t xml:space="preserve"> להיזק תוך שימוש בהליך משפ</w:t>
      </w:r>
      <w:r w:rsidR="003C7BFB">
        <w:rPr>
          <w:rFonts w:hint="cs"/>
          <w:rtl/>
        </w:rPr>
        <w:t xml:space="preserve">טי </w:t>
      </w:r>
      <w:r w:rsidR="003C7BFB">
        <w:rPr>
          <w:rFonts w:hint="cs"/>
          <w:rtl/>
        </w:rPr>
        <w:t>לגיטימי</w:t>
      </w:r>
      <w:r w:rsidR="00166172">
        <w:rPr>
          <w:rFonts w:ascii="David" w:hAnsi="David"/>
          <w:snapToGrid w:val="0"/>
          <w:color w:val="000000"/>
          <w:sz w:val="24"/>
          <w:szCs w:val="24"/>
          <w:rtl/>
          <w:lang w:eastAsia="ja-JP"/>
        </w:rPr>
        <w:t>־</w:t>
      </w:r>
      <w:r w:rsidR="003C7BFB">
        <w:rPr>
          <w:rFonts w:hint="cs"/>
          <w:rtl/>
        </w:rPr>
        <w:t>לכאורה היא</w:t>
      </w:r>
      <w:r>
        <w:rPr>
          <w:rFonts w:hint="cs"/>
          <w:rtl/>
        </w:rPr>
        <w:t xml:space="preserve"> בקשה מצד הנתבע להיות נידון בבית דין הגדול, אף על פי שההוצאות הכרוכות בתביעה שם עולות על שווי התביעה כולה. במקרה כזה </w:t>
      </w:r>
      <w:r w:rsidR="00166172">
        <w:rPr>
          <w:rFonts w:hint="cs"/>
          <w:rtl/>
        </w:rPr>
        <w:t>"כופין אותו ודן בעירו"</w:t>
      </w:r>
      <w:r w:rsidR="00D77D4F">
        <w:rPr>
          <w:rFonts w:hint="cs"/>
          <w:rtl/>
        </w:rPr>
        <w:t xml:space="preserve"> (סנהדרין לא ע"ב)</w:t>
      </w:r>
      <w:r>
        <w:rPr>
          <w:rFonts w:hint="cs"/>
          <w:rtl/>
        </w:rPr>
        <w:t>.</w:t>
      </w:r>
    </w:p>
  </w:endnote>
  <w:endnote w:id="10">
    <w:p w14:paraId="5AD185B7" w14:textId="77777777" w:rsidR="00C454BB" w:rsidRDefault="00C454B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שולחן ערוך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ח</w:t>
      </w:r>
      <w:r w:rsidR="003C7BFB">
        <w:rPr>
          <w:rFonts w:hint="cs"/>
          <w:rtl/>
        </w:rPr>
        <w:t>ו</w:t>
      </w:r>
      <w:r>
        <w:rPr>
          <w:rFonts w:hint="cs"/>
          <w:rtl/>
        </w:rPr>
        <w:t>שן משפט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סימן טו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סעיף ג.</w:t>
      </w:r>
    </w:p>
  </w:endnote>
  <w:endnote w:id="11">
    <w:p w14:paraId="3303A6AE" w14:textId="77777777" w:rsidR="00C454BB" w:rsidRDefault="00C454B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שולחן ערוך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חושן משפט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סימן </w:t>
      </w:r>
      <w:r>
        <w:rPr>
          <w:rFonts w:hint="cs"/>
          <w:rtl/>
        </w:rPr>
        <w:t>סג</w:t>
      </w:r>
      <w:r w:rsidR="003C7BFB">
        <w:rPr>
          <w:rFonts w:hint="cs"/>
          <w:rtl/>
        </w:rPr>
        <w:t>,</w:t>
      </w:r>
      <w:r>
        <w:rPr>
          <w:rFonts w:hint="cs"/>
          <w:rtl/>
        </w:rPr>
        <w:t xml:space="preserve"> סעיף ב; שו"ת מהר"ם אלשיך, סימן מ, החלוקה החמישית.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4870" w14:textId="77777777" w:rsidR="00DF7DF6" w:rsidRDefault="00DF7DF6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9DB156E" wp14:editId="04D1E918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1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>
      <w:rPr>
        <w:rFonts w:cs="Guttman Keren"/>
        <w:b/>
        <w:bCs/>
        <w:color w:val="365F91"/>
        <w:spacing w:val="-10"/>
        <w:rtl/>
      </w:rPr>
      <w:t xml:space="preserve">         -----</w:t>
    </w:r>
  </w:p>
  <w:p w14:paraId="11B3C73C" w14:textId="77777777" w:rsidR="00DF7DF6" w:rsidRPr="00E55679" w:rsidRDefault="00DF7DF6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14:paraId="38EEF468" w14:textId="77777777" w:rsidR="00DF7DF6" w:rsidRPr="00E55679" w:rsidRDefault="001273F5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DF7DF6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DF7DF6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DF7DF6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DF7DF6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DF7DF6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DF7DF6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DF7DF6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DF7DF6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DF7DF6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14:paraId="422308AE" w14:textId="77777777" w:rsidR="00DF7DF6" w:rsidRPr="00E55679" w:rsidRDefault="00DF7DF6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A759" w14:textId="77777777" w:rsidR="001273F5" w:rsidRDefault="001273F5">
      <w:r>
        <w:separator/>
      </w:r>
    </w:p>
  </w:footnote>
  <w:footnote w:type="continuationSeparator" w:id="0">
    <w:p w14:paraId="63A3AE0D" w14:textId="77777777" w:rsidR="001273F5" w:rsidRDefault="0012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CC89" w14:textId="77777777" w:rsidR="00DF7DF6" w:rsidRDefault="00DF7DF6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14:paraId="6CAEA398" w14:textId="77777777" w:rsidR="00DF7DF6" w:rsidRDefault="00DF7DF6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CEBE" w14:textId="77777777" w:rsidR="00DF7DF6" w:rsidRPr="00A81E14" w:rsidRDefault="00DF7DF6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B8181A" wp14:editId="1F8178A3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EB1D7" w14:textId="77777777" w:rsidR="00DF7DF6" w:rsidRDefault="00DF7DF6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14:paraId="582979C5" w14:textId="77777777" w:rsidR="00DF7DF6" w:rsidRPr="00E55679" w:rsidRDefault="00DF7DF6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14:paraId="4A314D49" w14:textId="77777777" w:rsidR="00DF7DF6" w:rsidRDefault="00DF7DF6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81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14:paraId="58EEB1D7" w14:textId="77777777" w:rsidR="00DF7DF6" w:rsidRDefault="00DF7DF6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14:paraId="582979C5" w14:textId="77777777" w:rsidR="00DF7DF6" w:rsidRPr="00E55679" w:rsidRDefault="00DF7DF6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14:paraId="4A314D49" w14:textId="77777777" w:rsidR="00DF7DF6" w:rsidRDefault="00DF7DF6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4FDD1DE" wp14:editId="58690485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96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776" behindDoc="0" locked="0" layoutInCell="1" allowOverlap="1" wp14:anchorId="4FDF381C" wp14:editId="41786330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4281FA2F" wp14:editId="0F67BD6F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F5"/>
    <w:rsid w:val="0000267A"/>
    <w:rsid w:val="0001496B"/>
    <w:rsid w:val="00022AF4"/>
    <w:rsid w:val="00027EB6"/>
    <w:rsid w:val="00036B4D"/>
    <w:rsid w:val="0005412E"/>
    <w:rsid w:val="00061BDA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273F5"/>
    <w:rsid w:val="00137408"/>
    <w:rsid w:val="00142BFA"/>
    <w:rsid w:val="001525AD"/>
    <w:rsid w:val="00160D00"/>
    <w:rsid w:val="00164BDF"/>
    <w:rsid w:val="00166172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3ED2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37D8"/>
    <w:rsid w:val="002A2B81"/>
    <w:rsid w:val="002A424E"/>
    <w:rsid w:val="002A474B"/>
    <w:rsid w:val="002B5E65"/>
    <w:rsid w:val="002B762A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21D3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732B"/>
    <w:rsid w:val="00367D14"/>
    <w:rsid w:val="00375703"/>
    <w:rsid w:val="00383943"/>
    <w:rsid w:val="0039035A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C7BFB"/>
    <w:rsid w:val="003D30AA"/>
    <w:rsid w:val="003E28E3"/>
    <w:rsid w:val="003E2EBE"/>
    <w:rsid w:val="003E4627"/>
    <w:rsid w:val="003F10E8"/>
    <w:rsid w:val="003F6BE1"/>
    <w:rsid w:val="0041121B"/>
    <w:rsid w:val="0041595D"/>
    <w:rsid w:val="0041684D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197"/>
    <w:rsid w:val="00483394"/>
    <w:rsid w:val="004840D6"/>
    <w:rsid w:val="004934C5"/>
    <w:rsid w:val="004935F3"/>
    <w:rsid w:val="00494996"/>
    <w:rsid w:val="004A6145"/>
    <w:rsid w:val="004B5059"/>
    <w:rsid w:val="004B57CD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95B13"/>
    <w:rsid w:val="005A4583"/>
    <w:rsid w:val="005A79E2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17EF4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606CC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A6D60"/>
    <w:rsid w:val="006B2769"/>
    <w:rsid w:val="006D6486"/>
    <w:rsid w:val="006D6EDE"/>
    <w:rsid w:val="006D7EF7"/>
    <w:rsid w:val="006E0214"/>
    <w:rsid w:val="006E0C59"/>
    <w:rsid w:val="006E7CC3"/>
    <w:rsid w:val="006F1D6E"/>
    <w:rsid w:val="006F78E8"/>
    <w:rsid w:val="006F78FD"/>
    <w:rsid w:val="00700A43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3650B"/>
    <w:rsid w:val="00744206"/>
    <w:rsid w:val="00746E49"/>
    <w:rsid w:val="0074782E"/>
    <w:rsid w:val="007544C5"/>
    <w:rsid w:val="00756ED1"/>
    <w:rsid w:val="007632A4"/>
    <w:rsid w:val="007639EF"/>
    <w:rsid w:val="00785415"/>
    <w:rsid w:val="007910E3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419DA"/>
    <w:rsid w:val="00842E88"/>
    <w:rsid w:val="00854BCF"/>
    <w:rsid w:val="00855EEB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22989"/>
    <w:rsid w:val="00930315"/>
    <w:rsid w:val="009311AE"/>
    <w:rsid w:val="009311BA"/>
    <w:rsid w:val="00932750"/>
    <w:rsid w:val="0093462E"/>
    <w:rsid w:val="00940F3E"/>
    <w:rsid w:val="00944D2F"/>
    <w:rsid w:val="00952D0C"/>
    <w:rsid w:val="00954011"/>
    <w:rsid w:val="00955CD0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14527"/>
    <w:rsid w:val="00A203F5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87FA4"/>
    <w:rsid w:val="00AA1E04"/>
    <w:rsid w:val="00AA6B05"/>
    <w:rsid w:val="00AB0DBC"/>
    <w:rsid w:val="00AB40FD"/>
    <w:rsid w:val="00AB6058"/>
    <w:rsid w:val="00AC04B5"/>
    <w:rsid w:val="00AC1F80"/>
    <w:rsid w:val="00AD2AB7"/>
    <w:rsid w:val="00AD5DF3"/>
    <w:rsid w:val="00AD65A5"/>
    <w:rsid w:val="00AF2271"/>
    <w:rsid w:val="00AF62DB"/>
    <w:rsid w:val="00B04E45"/>
    <w:rsid w:val="00B05277"/>
    <w:rsid w:val="00B1161C"/>
    <w:rsid w:val="00B11AC0"/>
    <w:rsid w:val="00B12284"/>
    <w:rsid w:val="00B23145"/>
    <w:rsid w:val="00B34069"/>
    <w:rsid w:val="00B3502D"/>
    <w:rsid w:val="00B35509"/>
    <w:rsid w:val="00B37493"/>
    <w:rsid w:val="00B40C8C"/>
    <w:rsid w:val="00B4279F"/>
    <w:rsid w:val="00B43219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1CBF"/>
    <w:rsid w:val="00BC300D"/>
    <w:rsid w:val="00BC6E48"/>
    <w:rsid w:val="00BC7632"/>
    <w:rsid w:val="00BE47A7"/>
    <w:rsid w:val="00BF52DE"/>
    <w:rsid w:val="00BF5665"/>
    <w:rsid w:val="00C0071D"/>
    <w:rsid w:val="00C2659A"/>
    <w:rsid w:val="00C374FF"/>
    <w:rsid w:val="00C40E28"/>
    <w:rsid w:val="00C410BA"/>
    <w:rsid w:val="00C454BB"/>
    <w:rsid w:val="00C51163"/>
    <w:rsid w:val="00C554A4"/>
    <w:rsid w:val="00C67111"/>
    <w:rsid w:val="00C702BF"/>
    <w:rsid w:val="00C72C04"/>
    <w:rsid w:val="00C76D27"/>
    <w:rsid w:val="00C77CA0"/>
    <w:rsid w:val="00C831E4"/>
    <w:rsid w:val="00C840CE"/>
    <w:rsid w:val="00C849D8"/>
    <w:rsid w:val="00C91767"/>
    <w:rsid w:val="00CA2F50"/>
    <w:rsid w:val="00CB3A5C"/>
    <w:rsid w:val="00CB7799"/>
    <w:rsid w:val="00CC0641"/>
    <w:rsid w:val="00CE1E1C"/>
    <w:rsid w:val="00CE39DC"/>
    <w:rsid w:val="00CE455D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77D4F"/>
    <w:rsid w:val="00D86EB5"/>
    <w:rsid w:val="00D92345"/>
    <w:rsid w:val="00D95489"/>
    <w:rsid w:val="00DA0DB7"/>
    <w:rsid w:val="00DA66D4"/>
    <w:rsid w:val="00DB1328"/>
    <w:rsid w:val="00DB1ECD"/>
    <w:rsid w:val="00DB26B2"/>
    <w:rsid w:val="00DB279D"/>
    <w:rsid w:val="00DB4B88"/>
    <w:rsid w:val="00DB5679"/>
    <w:rsid w:val="00DB6EB3"/>
    <w:rsid w:val="00DC23F1"/>
    <w:rsid w:val="00DC7208"/>
    <w:rsid w:val="00DC7D2C"/>
    <w:rsid w:val="00DD294C"/>
    <w:rsid w:val="00DE1619"/>
    <w:rsid w:val="00DE5411"/>
    <w:rsid w:val="00DE719B"/>
    <w:rsid w:val="00DF362F"/>
    <w:rsid w:val="00DF7DF6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A3452"/>
    <w:rsid w:val="00EB47AA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2400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2E4E"/>
    <w:rsid w:val="00F848CD"/>
    <w:rsid w:val="00F87124"/>
    <w:rsid w:val="00F90C98"/>
    <w:rsid w:val="00F920D3"/>
    <w:rsid w:val="00F97062"/>
    <w:rsid w:val="00FA28DB"/>
    <w:rsid w:val="00FA3BEF"/>
    <w:rsid w:val="00FA40E6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0D59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89CC3"/>
  <w15:docId w15:val="{540A2B2B-941A-4918-A3F9-302B060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F97062"/>
    <w:rPr>
      <w:rFonts w:cs="David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700A43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Miriam"/>
      <w:b/>
      <w:bCs/>
      <w:color w:val="auto"/>
      <w:spacing w:val="0"/>
      <w:lang w:eastAsia="en-US"/>
    </w:rPr>
  </w:style>
  <w:style w:type="character" w:customStyle="1" w:styleId="af9">
    <w:name w:val="נושא הערה תו"/>
    <w:basedOn w:val="af5"/>
    <w:link w:val="af8"/>
    <w:uiPriority w:val="99"/>
    <w:semiHidden/>
    <w:rsid w:val="00700A43"/>
    <w:rPr>
      <w:rFonts w:ascii="Hadasa Roso SL" w:eastAsia="MS Mincho" w:hAnsi="Hadasa Roso SL"/>
      <w:b/>
      <w:bCs/>
      <w:color w:val="000000"/>
      <w:spacing w:val="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0AFE-17E0-4461-A794-64E52354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2</cp:revision>
  <cp:lastPrinted>2016-02-21T08:13:00Z</cp:lastPrinted>
  <dcterms:created xsi:type="dcterms:W3CDTF">2018-07-05T06:20:00Z</dcterms:created>
  <dcterms:modified xsi:type="dcterms:W3CDTF">2018-07-05T06:20:00Z</dcterms:modified>
</cp:coreProperties>
</file>