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82" w:rsidRPr="00297A32" w:rsidRDefault="00B67482" w:rsidP="00297A32">
      <w:pPr>
        <w:spacing w:line="360" w:lineRule="auto"/>
        <w:jc w:val="center"/>
        <w:rPr>
          <w:rStyle w:val="a8"/>
          <w:rFonts w:ascii="Arial" w:hAnsi="Arial" w:cs="Guttman Keren"/>
          <w:bCs/>
          <w:color w:val="1D5872"/>
          <w:sz w:val="24"/>
          <w:szCs w:val="24"/>
          <w:rtl/>
        </w:rPr>
      </w:pPr>
      <w:r w:rsidRPr="00297A32">
        <w:rPr>
          <w:rStyle w:val="a8"/>
          <w:rFonts w:ascii="Arial" w:hAnsi="Arial" w:cs="Guttman Keren"/>
          <w:bCs/>
          <w:color w:val="1D5872"/>
          <w:sz w:val="24"/>
          <w:szCs w:val="24"/>
          <w:rtl/>
        </w:rPr>
        <w:t>נייר עמדה</w:t>
      </w:r>
    </w:p>
    <w:p w:rsidR="00297A32" w:rsidRPr="00297A32" w:rsidRDefault="00D72BD5" w:rsidP="0000267A">
      <w:pPr>
        <w:spacing w:line="360" w:lineRule="auto"/>
        <w:jc w:val="center"/>
        <w:rPr>
          <w:rStyle w:val="a8"/>
          <w:rFonts w:ascii="Arial" w:hAnsi="Arial" w:cs="Guttman Keren"/>
          <w:bCs/>
          <w:color w:val="1D5872"/>
          <w:sz w:val="28"/>
          <w:szCs w:val="28"/>
          <w:rtl/>
        </w:rPr>
      </w:pPr>
      <w:r w:rsidRPr="00297A32">
        <w:rPr>
          <w:rStyle w:val="a8"/>
          <w:rFonts w:ascii="Arial" w:hAnsi="Arial" w:cs="Guttman Keren" w:hint="cs"/>
          <w:bCs/>
          <w:color w:val="1D5872"/>
          <w:sz w:val="28"/>
          <w:szCs w:val="28"/>
          <w:rtl/>
        </w:rPr>
        <w:t xml:space="preserve">הצעת חוק העונשין </w:t>
      </w:r>
    </w:p>
    <w:p w:rsidR="00B67482" w:rsidRPr="00297A32" w:rsidRDefault="00D72BD5" w:rsidP="0000267A">
      <w:pPr>
        <w:spacing w:line="360" w:lineRule="auto"/>
        <w:jc w:val="center"/>
        <w:rPr>
          <w:rStyle w:val="a8"/>
          <w:rFonts w:ascii="Arial" w:hAnsi="Arial" w:cs="Guttman Keren"/>
          <w:bCs/>
          <w:color w:val="1D5872"/>
          <w:sz w:val="28"/>
          <w:szCs w:val="28"/>
          <w:rtl/>
        </w:rPr>
      </w:pPr>
      <w:r w:rsidRPr="00297A32">
        <w:rPr>
          <w:rStyle w:val="a8"/>
          <w:rFonts w:ascii="Arial" w:hAnsi="Arial" w:cs="Guttman Keren" w:hint="cs"/>
          <w:bCs/>
          <w:color w:val="1D5872"/>
          <w:sz w:val="28"/>
          <w:szCs w:val="28"/>
          <w:rtl/>
        </w:rPr>
        <w:t xml:space="preserve">(תיקון </w:t>
      </w:r>
      <w:r w:rsidRPr="00297A32">
        <w:rPr>
          <w:rStyle w:val="a8"/>
          <w:rFonts w:ascii="Arial" w:hAnsi="Arial" w:cs="Guttman Keren"/>
          <w:bCs/>
          <w:color w:val="1D5872"/>
          <w:sz w:val="28"/>
          <w:szCs w:val="28"/>
          <w:rtl/>
        </w:rPr>
        <w:t>–</w:t>
      </w:r>
      <w:r w:rsidRPr="00297A32">
        <w:rPr>
          <w:rStyle w:val="a8"/>
          <w:rFonts w:ascii="Arial" w:hAnsi="Arial" w:cs="Guttman Keren" w:hint="cs"/>
          <w:bCs/>
          <w:color w:val="1D5872"/>
          <w:sz w:val="28"/>
          <w:szCs w:val="28"/>
          <w:rtl/>
        </w:rPr>
        <w:t xml:space="preserve"> נסיבות רפואיות), התשע"ט</w:t>
      </w:r>
      <w:r w:rsidR="00297A32" w:rsidRPr="00297A32">
        <w:rPr>
          <w:rStyle w:val="a8"/>
          <w:rFonts w:ascii="Arial" w:hAnsi="Arial" w:cs="Guttman Keren"/>
          <w:bCs/>
          <w:color w:val="1D5872"/>
          <w:sz w:val="28"/>
          <w:szCs w:val="28"/>
          <w:rtl/>
        </w:rPr>
        <w:t>–</w:t>
      </w:r>
      <w:r w:rsidRPr="00297A32">
        <w:rPr>
          <w:rStyle w:val="a8"/>
          <w:rFonts w:ascii="Arial" w:hAnsi="Arial" w:cs="Guttman Keren" w:hint="cs"/>
          <w:bCs/>
          <w:color w:val="1D5872"/>
          <w:sz w:val="28"/>
          <w:szCs w:val="28"/>
          <w:rtl/>
        </w:rPr>
        <w:t>2018</w:t>
      </w:r>
    </w:p>
    <w:p w:rsidR="00B67482" w:rsidRPr="00B35509" w:rsidRDefault="00B67482" w:rsidP="00297A32">
      <w:pPr>
        <w:spacing w:after="240" w:line="360" w:lineRule="auto"/>
        <w:rPr>
          <w:rStyle w:val="a8"/>
          <w:rFonts w:ascii="Arial" w:hAnsi="Arial" w:cs="Guttman Keren" w:hint="cs"/>
          <w:bCs/>
          <w:color w:val="1D5872"/>
          <w:sz w:val="24"/>
          <w:szCs w:val="24"/>
          <w:rtl/>
        </w:rPr>
      </w:pPr>
      <w:r w:rsidRPr="00B35509">
        <w:rPr>
          <w:rStyle w:val="a8"/>
          <w:rFonts w:ascii="Arial" w:hAnsi="Arial" w:cs="Guttman Keren"/>
          <w:bCs/>
          <w:color w:val="1D5872"/>
          <w:sz w:val="24"/>
          <w:szCs w:val="24"/>
          <w:rtl/>
        </w:rPr>
        <w:t>מבוא</w:t>
      </w:r>
    </w:p>
    <w:p w:rsidR="00D72BD5" w:rsidRDefault="00D72BD5" w:rsidP="00BE5E14">
      <w:pPr>
        <w:spacing w:after="240" w:line="360" w:lineRule="auto"/>
        <w:jc w:val="both"/>
        <w:rPr>
          <w:rFonts w:cs="David"/>
          <w:snapToGrid w:val="0"/>
          <w:color w:val="000000"/>
          <w:sz w:val="24"/>
          <w:szCs w:val="24"/>
          <w:rtl/>
          <w:lang w:eastAsia="ja-JP"/>
        </w:rPr>
      </w:pPr>
      <w:r w:rsidRPr="00D72BD5">
        <w:rPr>
          <w:rFonts w:cs="David"/>
          <w:snapToGrid w:val="0"/>
          <w:color w:val="000000"/>
          <w:sz w:val="24"/>
          <w:szCs w:val="24"/>
          <w:rtl/>
          <w:lang w:eastAsia="ja-JP"/>
        </w:rPr>
        <w:t>תיקון 113 לחוק</w:t>
      </w:r>
      <w:r w:rsidR="00BE5E14">
        <w:rPr>
          <w:rFonts w:cs="David" w:hint="cs"/>
          <w:snapToGrid w:val="0"/>
          <w:color w:val="000000"/>
          <w:sz w:val="24"/>
          <w:szCs w:val="24"/>
          <w:rtl/>
          <w:lang w:eastAsia="ja-JP"/>
        </w:rPr>
        <w:t xml:space="preserve"> העונשין,</w:t>
      </w:r>
      <w:r w:rsidRPr="00D72BD5">
        <w:rPr>
          <w:rFonts w:cs="David"/>
          <w:snapToGrid w:val="0"/>
          <w:color w:val="000000"/>
          <w:sz w:val="24"/>
          <w:szCs w:val="24"/>
          <w:rtl/>
          <w:lang w:eastAsia="ja-JP"/>
        </w:rPr>
        <w:t xml:space="preserve"> שנכנס לתוקף בשנת 2012</w:t>
      </w:r>
      <w:r w:rsidR="00BE5E14">
        <w:rPr>
          <w:rFonts w:cs="David" w:hint="cs"/>
          <w:snapToGrid w:val="0"/>
          <w:color w:val="000000"/>
          <w:sz w:val="24"/>
          <w:szCs w:val="24"/>
          <w:rtl/>
          <w:lang w:eastAsia="ja-JP"/>
        </w:rPr>
        <w:t>,</w:t>
      </w:r>
      <w:r w:rsidRPr="00D72BD5">
        <w:rPr>
          <w:rFonts w:cs="David"/>
          <w:snapToGrid w:val="0"/>
          <w:color w:val="000000"/>
          <w:sz w:val="24"/>
          <w:szCs w:val="24"/>
          <w:rtl/>
          <w:lang w:eastAsia="ja-JP"/>
        </w:rPr>
        <w:t xml:space="preserve"> קבע כי בבוא </w:t>
      </w:r>
      <w:r w:rsidR="00297A32">
        <w:rPr>
          <w:rFonts w:cs="David"/>
          <w:snapToGrid w:val="0"/>
          <w:color w:val="000000"/>
          <w:sz w:val="24"/>
          <w:szCs w:val="24"/>
          <w:rtl/>
          <w:lang w:eastAsia="ja-JP"/>
        </w:rPr>
        <w:t xml:space="preserve">בית המשפט לגזור </w:t>
      </w:r>
      <w:r w:rsidR="00BE5E14">
        <w:rPr>
          <w:rFonts w:cs="David" w:hint="cs"/>
          <w:snapToGrid w:val="0"/>
          <w:color w:val="000000"/>
          <w:sz w:val="24"/>
          <w:szCs w:val="24"/>
          <w:rtl/>
          <w:lang w:eastAsia="ja-JP"/>
        </w:rPr>
        <w:t xml:space="preserve">את </w:t>
      </w:r>
      <w:r w:rsidR="00297A32">
        <w:rPr>
          <w:rFonts w:cs="David"/>
          <w:snapToGrid w:val="0"/>
          <w:color w:val="000000"/>
          <w:sz w:val="24"/>
          <w:szCs w:val="24"/>
          <w:rtl/>
          <w:lang w:eastAsia="ja-JP"/>
        </w:rPr>
        <w:t xml:space="preserve">עונשו של נאשם, </w:t>
      </w:r>
      <w:r w:rsidRPr="00D72BD5">
        <w:rPr>
          <w:rFonts w:cs="David"/>
          <w:snapToGrid w:val="0"/>
          <w:color w:val="000000"/>
          <w:sz w:val="24"/>
          <w:szCs w:val="24"/>
          <w:rtl/>
          <w:lang w:eastAsia="ja-JP"/>
        </w:rPr>
        <w:t>י</w:t>
      </w:r>
      <w:r w:rsidR="00BE5E14">
        <w:rPr>
          <w:rFonts w:cs="David" w:hint="cs"/>
          <w:snapToGrid w:val="0"/>
          <w:color w:val="000000"/>
          <w:sz w:val="24"/>
          <w:szCs w:val="24"/>
          <w:rtl/>
          <w:lang w:eastAsia="ja-JP"/>
        </w:rPr>
        <w:t>י</w:t>
      </w:r>
      <w:r w:rsidRPr="00D72BD5">
        <w:rPr>
          <w:rFonts w:cs="David"/>
          <w:snapToGrid w:val="0"/>
          <w:color w:val="000000"/>
          <w:sz w:val="24"/>
          <w:szCs w:val="24"/>
          <w:rtl/>
          <w:lang w:eastAsia="ja-JP"/>
        </w:rPr>
        <w:t xml:space="preserve">קבע </w:t>
      </w:r>
      <w:r w:rsidR="00BE5E14">
        <w:rPr>
          <w:rFonts w:cs="David" w:hint="cs"/>
          <w:snapToGrid w:val="0"/>
          <w:color w:val="000000"/>
          <w:sz w:val="24"/>
          <w:szCs w:val="24"/>
          <w:rtl/>
          <w:lang w:eastAsia="ja-JP"/>
        </w:rPr>
        <w:t>תחילה</w:t>
      </w:r>
      <w:r w:rsidRPr="00D72BD5">
        <w:rPr>
          <w:rFonts w:cs="David"/>
          <w:snapToGrid w:val="0"/>
          <w:color w:val="000000"/>
          <w:sz w:val="24"/>
          <w:szCs w:val="24"/>
          <w:rtl/>
          <w:lang w:eastAsia="ja-JP"/>
        </w:rPr>
        <w:t xml:space="preserve"> מתחם הענישה ההולם שב</w:t>
      </w:r>
      <w:r w:rsidR="00BE5E14">
        <w:rPr>
          <w:rFonts w:cs="David" w:hint="cs"/>
          <w:snapToGrid w:val="0"/>
          <w:color w:val="000000"/>
          <w:sz w:val="24"/>
          <w:szCs w:val="24"/>
          <w:rtl/>
          <w:lang w:eastAsia="ja-JP"/>
        </w:rPr>
        <w:t>גבולותיו</w:t>
      </w:r>
      <w:r w:rsidR="00BE5E14">
        <w:rPr>
          <w:rFonts w:cs="David"/>
          <w:snapToGrid w:val="0"/>
          <w:color w:val="000000"/>
          <w:sz w:val="24"/>
          <w:szCs w:val="24"/>
          <w:rtl/>
          <w:lang w:eastAsia="ja-JP"/>
        </w:rPr>
        <w:t xml:space="preserve"> ייגזר העונש</w:t>
      </w:r>
      <w:r w:rsidR="00BE5E14">
        <w:rPr>
          <w:rFonts w:cs="David" w:hint="cs"/>
          <w:snapToGrid w:val="0"/>
          <w:color w:val="000000"/>
          <w:sz w:val="24"/>
          <w:szCs w:val="24"/>
          <w:rtl/>
          <w:lang w:eastAsia="ja-JP"/>
        </w:rPr>
        <w:t>:</w:t>
      </w:r>
      <w:r w:rsidRPr="00D72BD5">
        <w:rPr>
          <w:rFonts w:cs="David"/>
          <w:snapToGrid w:val="0"/>
          <w:color w:val="000000"/>
          <w:sz w:val="24"/>
          <w:szCs w:val="24"/>
          <w:rtl/>
          <w:lang w:eastAsia="ja-JP"/>
        </w:rPr>
        <w:t xml:space="preserve"> חריגה </w:t>
      </w:r>
      <w:r w:rsidR="00BE5E14">
        <w:rPr>
          <w:rFonts w:cs="David" w:hint="cs"/>
          <w:snapToGrid w:val="0"/>
          <w:color w:val="000000"/>
          <w:sz w:val="24"/>
          <w:szCs w:val="24"/>
          <w:rtl/>
          <w:lang w:eastAsia="ja-JP"/>
        </w:rPr>
        <w:t xml:space="preserve">לקולא </w:t>
      </w:r>
      <w:r w:rsidR="00BE5E14">
        <w:rPr>
          <w:rFonts w:cs="David"/>
          <w:snapToGrid w:val="0"/>
          <w:color w:val="000000"/>
          <w:sz w:val="24"/>
          <w:szCs w:val="24"/>
          <w:rtl/>
          <w:lang w:eastAsia="ja-JP"/>
        </w:rPr>
        <w:t>ממתחם</w:t>
      </w:r>
      <w:r w:rsidR="00BE5E14">
        <w:rPr>
          <w:rFonts w:cs="David" w:hint="cs"/>
          <w:snapToGrid w:val="0"/>
          <w:color w:val="000000"/>
          <w:sz w:val="24"/>
          <w:szCs w:val="24"/>
          <w:rtl/>
          <w:lang w:eastAsia="ja-JP"/>
        </w:rPr>
        <w:t xml:space="preserve"> זה </w:t>
      </w:r>
      <w:r w:rsidRPr="00D72BD5">
        <w:rPr>
          <w:rFonts w:cs="David"/>
          <w:snapToGrid w:val="0"/>
          <w:color w:val="000000"/>
          <w:sz w:val="24"/>
          <w:szCs w:val="24"/>
          <w:rtl/>
          <w:lang w:eastAsia="ja-JP"/>
        </w:rPr>
        <w:t xml:space="preserve">תיעשה רק </w:t>
      </w:r>
      <w:r w:rsidR="00BE5E14">
        <w:rPr>
          <w:rFonts w:cs="David" w:hint="cs"/>
          <w:snapToGrid w:val="0"/>
          <w:color w:val="000000"/>
          <w:sz w:val="24"/>
          <w:szCs w:val="24"/>
          <w:rtl/>
          <w:lang w:eastAsia="ja-JP"/>
        </w:rPr>
        <w:t>מ</w:t>
      </w:r>
      <w:r w:rsidRPr="00D72BD5">
        <w:rPr>
          <w:rFonts w:cs="David"/>
          <w:snapToGrid w:val="0"/>
          <w:color w:val="000000"/>
          <w:sz w:val="24"/>
          <w:szCs w:val="24"/>
          <w:rtl/>
          <w:lang w:eastAsia="ja-JP"/>
        </w:rPr>
        <w:t>שיקולי שיקום</w:t>
      </w:r>
      <w:r w:rsidR="00BE5E14">
        <w:rPr>
          <w:rFonts w:cs="David" w:hint="cs"/>
          <w:snapToGrid w:val="0"/>
          <w:color w:val="000000"/>
          <w:sz w:val="24"/>
          <w:szCs w:val="24"/>
          <w:rtl/>
          <w:lang w:eastAsia="ja-JP"/>
        </w:rPr>
        <w:t>;</w:t>
      </w:r>
      <w:r w:rsidRPr="00D72BD5">
        <w:rPr>
          <w:rFonts w:cs="David"/>
          <w:snapToGrid w:val="0"/>
          <w:color w:val="000000"/>
          <w:sz w:val="24"/>
          <w:szCs w:val="24"/>
          <w:rtl/>
          <w:lang w:eastAsia="ja-JP"/>
        </w:rPr>
        <w:t xml:space="preserve"> וחריגה לחומרא </w:t>
      </w:r>
      <w:r w:rsidR="00BE5E14">
        <w:rPr>
          <w:rFonts w:cs="David" w:hint="cs"/>
          <w:snapToGrid w:val="0"/>
          <w:color w:val="000000"/>
          <w:sz w:val="24"/>
          <w:szCs w:val="24"/>
          <w:rtl/>
          <w:lang w:eastAsia="ja-JP"/>
        </w:rPr>
        <w:t xml:space="preserve">תיעשה </w:t>
      </w:r>
      <w:r w:rsidRPr="00D72BD5">
        <w:rPr>
          <w:rFonts w:cs="David"/>
          <w:snapToGrid w:val="0"/>
          <w:color w:val="000000"/>
          <w:sz w:val="24"/>
          <w:szCs w:val="24"/>
          <w:rtl/>
          <w:lang w:eastAsia="ja-JP"/>
        </w:rPr>
        <w:t xml:space="preserve">רק </w:t>
      </w:r>
      <w:r w:rsidR="00BE5E14">
        <w:rPr>
          <w:rFonts w:cs="David" w:hint="cs"/>
          <w:snapToGrid w:val="0"/>
          <w:color w:val="000000"/>
          <w:sz w:val="24"/>
          <w:szCs w:val="24"/>
          <w:rtl/>
          <w:lang w:eastAsia="ja-JP"/>
        </w:rPr>
        <w:t>מ</w:t>
      </w:r>
      <w:r w:rsidRPr="00D72BD5">
        <w:rPr>
          <w:rFonts w:cs="David"/>
          <w:snapToGrid w:val="0"/>
          <w:color w:val="000000"/>
          <w:sz w:val="24"/>
          <w:szCs w:val="24"/>
          <w:rtl/>
          <w:lang w:eastAsia="ja-JP"/>
        </w:rPr>
        <w:t>שיקולי הגנה על שלום הציבור</w:t>
      </w:r>
      <w:r>
        <w:rPr>
          <w:rFonts w:cs="David" w:hint="cs"/>
          <w:snapToGrid w:val="0"/>
          <w:color w:val="000000"/>
          <w:sz w:val="24"/>
          <w:szCs w:val="24"/>
          <w:rtl/>
          <w:lang w:eastAsia="ja-JP"/>
        </w:rPr>
        <w:t>.</w:t>
      </w:r>
    </w:p>
    <w:p w:rsidR="00502BB1" w:rsidRDefault="00D72BD5" w:rsidP="00180B22">
      <w:pPr>
        <w:spacing w:after="240" w:line="360" w:lineRule="auto"/>
        <w:jc w:val="both"/>
        <w:rPr>
          <w:rFonts w:cs="David"/>
          <w:snapToGrid w:val="0"/>
          <w:color w:val="000000"/>
          <w:sz w:val="24"/>
          <w:szCs w:val="24"/>
          <w:rtl/>
          <w:lang w:eastAsia="ja-JP"/>
        </w:rPr>
      </w:pPr>
      <w:r>
        <w:rPr>
          <w:rFonts w:cs="David" w:hint="cs"/>
          <w:snapToGrid w:val="0"/>
          <w:color w:val="000000"/>
          <w:sz w:val="24"/>
          <w:szCs w:val="24"/>
          <w:rtl/>
          <w:lang w:eastAsia="ja-JP"/>
        </w:rPr>
        <w:t xml:space="preserve">הצעת החוק שלפנינו באה להרחיב את שיקול דעתו של בית המשפט </w:t>
      </w:r>
      <w:r w:rsidR="00BE5E14">
        <w:rPr>
          <w:rFonts w:cs="David" w:hint="cs"/>
          <w:snapToGrid w:val="0"/>
          <w:color w:val="000000"/>
          <w:sz w:val="24"/>
          <w:szCs w:val="24"/>
          <w:rtl/>
          <w:lang w:eastAsia="ja-JP"/>
        </w:rPr>
        <w:t xml:space="preserve">בכל הנוגע לחריגה לקולא, ולאפשר לו להתחשב </w:t>
      </w:r>
      <w:r>
        <w:rPr>
          <w:rFonts w:cs="David" w:hint="cs"/>
          <w:snapToGrid w:val="0"/>
          <w:color w:val="000000"/>
          <w:sz w:val="24"/>
          <w:szCs w:val="24"/>
          <w:rtl/>
          <w:lang w:eastAsia="ja-JP"/>
        </w:rPr>
        <w:t xml:space="preserve">גם </w:t>
      </w:r>
      <w:r w:rsidR="00BE5E14">
        <w:rPr>
          <w:rFonts w:cs="David" w:hint="cs"/>
          <w:snapToGrid w:val="0"/>
          <w:color w:val="000000"/>
          <w:sz w:val="24"/>
          <w:szCs w:val="24"/>
          <w:rtl/>
          <w:lang w:eastAsia="ja-JP"/>
        </w:rPr>
        <w:t>ב</w:t>
      </w:r>
      <w:r>
        <w:rPr>
          <w:rFonts w:cs="David" w:hint="cs"/>
          <w:snapToGrid w:val="0"/>
          <w:color w:val="000000"/>
          <w:sz w:val="24"/>
          <w:szCs w:val="24"/>
          <w:rtl/>
          <w:lang w:eastAsia="ja-JP"/>
        </w:rPr>
        <w:t xml:space="preserve">מצבו הרפואי של הנאשם בעת גזירת העונש </w:t>
      </w:r>
      <w:r>
        <w:rPr>
          <w:rFonts w:cs="David"/>
          <w:snapToGrid w:val="0"/>
          <w:color w:val="000000"/>
          <w:sz w:val="24"/>
          <w:szCs w:val="24"/>
          <w:rtl/>
          <w:lang w:eastAsia="ja-JP"/>
        </w:rPr>
        <w:t>–</w:t>
      </w:r>
      <w:r>
        <w:rPr>
          <w:rFonts w:cs="David" w:hint="cs"/>
          <w:snapToGrid w:val="0"/>
          <w:color w:val="000000"/>
          <w:sz w:val="24"/>
          <w:szCs w:val="24"/>
          <w:rtl/>
          <w:lang w:eastAsia="ja-JP"/>
        </w:rPr>
        <w:t xml:space="preserve"> הן באופן כללי</w:t>
      </w:r>
      <w:r w:rsidR="00BE5E14">
        <w:rPr>
          <w:rFonts w:cs="David" w:hint="cs"/>
          <w:snapToGrid w:val="0"/>
          <w:color w:val="000000"/>
          <w:sz w:val="24"/>
          <w:szCs w:val="24"/>
          <w:rtl/>
          <w:lang w:eastAsia="ja-JP"/>
        </w:rPr>
        <w:t>, הן</w:t>
      </w:r>
      <w:r>
        <w:rPr>
          <w:rFonts w:cs="David" w:hint="cs"/>
          <w:snapToGrid w:val="0"/>
          <w:color w:val="000000"/>
          <w:sz w:val="24"/>
          <w:szCs w:val="24"/>
          <w:rtl/>
          <w:lang w:eastAsia="ja-JP"/>
        </w:rPr>
        <w:t xml:space="preserve"> </w:t>
      </w:r>
      <w:r w:rsidR="00BE5E14">
        <w:rPr>
          <w:rFonts w:cs="David" w:hint="cs"/>
          <w:snapToGrid w:val="0"/>
          <w:color w:val="000000"/>
          <w:sz w:val="24"/>
          <w:szCs w:val="24"/>
          <w:rtl/>
          <w:lang w:eastAsia="ja-JP"/>
        </w:rPr>
        <w:t xml:space="preserve">כאשר </w:t>
      </w:r>
      <w:r>
        <w:rPr>
          <w:rFonts w:cs="David" w:hint="cs"/>
          <w:snapToGrid w:val="0"/>
          <w:color w:val="000000"/>
          <w:sz w:val="24"/>
          <w:szCs w:val="24"/>
          <w:rtl/>
          <w:lang w:eastAsia="ja-JP"/>
        </w:rPr>
        <w:t>מצב</w:t>
      </w:r>
      <w:r w:rsidR="00BE5E14">
        <w:rPr>
          <w:rFonts w:cs="David" w:hint="cs"/>
          <w:snapToGrid w:val="0"/>
          <w:color w:val="000000"/>
          <w:sz w:val="24"/>
          <w:szCs w:val="24"/>
          <w:rtl/>
          <w:lang w:eastAsia="ja-JP"/>
        </w:rPr>
        <w:t>ו</w:t>
      </w:r>
      <w:r>
        <w:rPr>
          <w:rFonts w:cs="David" w:hint="cs"/>
          <w:snapToGrid w:val="0"/>
          <w:color w:val="000000"/>
          <w:sz w:val="24"/>
          <w:szCs w:val="24"/>
          <w:rtl/>
          <w:lang w:eastAsia="ja-JP"/>
        </w:rPr>
        <w:t xml:space="preserve"> רפואי </w:t>
      </w:r>
      <w:r w:rsidR="00BE5E14">
        <w:rPr>
          <w:rFonts w:cs="David" w:hint="cs"/>
          <w:snapToGrid w:val="0"/>
          <w:color w:val="000000"/>
          <w:sz w:val="24"/>
          <w:szCs w:val="24"/>
          <w:rtl/>
          <w:lang w:eastAsia="ja-JP"/>
        </w:rPr>
        <w:t xml:space="preserve">של הנאשם </w:t>
      </w:r>
      <w:r>
        <w:rPr>
          <w:rFonts w:cs="David" w:hint="cs"/>
          <w:snapToGrid w:val="0"/>
          <w:color w:val="000000"/>
          <w:sz w:val="24"/>
          <w:szCs w:val="24"/>
          <w:rtl/>
          <w:lang w:eastAsia="ja-JP"/>
        </w:rPr>
        <w:t xml:space="preserve">מונע </w:t>
      </w:r>
      <w:r w:rsidR="00BE5E14">
        <w:rPr>
          <w:rFonts w:cs="David" w:hint="cs"/>
          <w:snapToGrid w:val="0"/>
          <w:color w:val="000000"/>
          <w:sz w:val="24"/>
          <w:szCs w:val="24"/>
          <w:rtl/>
          <w:lang w:eastAsia="ja-JP"/>
        </w:rPr>
        <w:t xml:space="preserve">ממנו את האפשרות לרצות את </w:t>
      </w:r>
      <w:r>
        <w:rPr>
          <w:rFonts w:cs="David" w:hint="cs"/>
          <w:snapToGrid w:val="0"/>
          <w:color w:val="000000"/>
          <w:sz w:val="24"/>
          <w:szCs w:val="24"/>
          <w:rtl/>
          <w:lang w:eastAsia="ja-JP"/>
        </w:rPr>
        <w:t>עונשו באמצעות עבודות שירות וכדומה, ובכך גורם ל</w:t>
      </w:r>
      <w:r w:rsidR="00666C70">
        <w:rPr>
          <w:rFonts w:cs="David" w:hint="cs"/>
          <w:snapToGrid w:val="0"/>
          <w:color w:val="000000"/>
          <w:sz w:val="24"/>
          <w:szCs w:val="24"/>
          <w:rtl/>
          <w:lang w:eastAsia="ja-JP"/>
        </w:rPr>
        <w:t>השתת</w:t>
      </w:r>
      <w:r>
        <w:rPr>
          <w:rFonts w:cs="David" w:hint="cs"/>
          <w:snapToGrid w:val="0"/>
          <w:color w:val="000000"/>
          <w:sz w:val="24"/>
          <w:szCs w:val="24"/>
          <w:rtl/>
          <w:lang w:eastAsia="ja-JP"/>
        </w:rPr>
        <w:t xml:space="preserve"> מאסר</w:t>
      </w:r>
      <w:r w:rsidR="00666C70">
        <w:rPr>
          <w:rFonts w:cs="David" w:hint="cs"/>
          <w:snapToGrid w:val="0"/>
          <w:color w:val="000000"/>
          <w:sz w:val="24"/>
          <w:szCs w:val="24"/>
          <w:rtl/>
          <w:lang w:eastAsia="ja-JP"/>
        </w:rPr>
        <w:t xml:space="preserve"> בפועל</w:t>
      </w:r>
      <w:r>
        <w:rPr>
          <w:rFonts w:cs="David" w:hint="cs"/>
          <w:snapToGrid w:val="0"/>
          <w:color w:val="000000"/>
          <w:sz w:val="24"/>
          <w:szCs w:val="24"/>
          <w:rtl/>
          <w:lang w:eastAsia="ja-JP"/>
        </w:rPr>
        <w:t xml:space="preserve">. </w:t>
      </w:r>
      <w:r w:rsidR="00502BB1">
        <w:rPr>
          <w:rFonts w:cs="David" w:hint="cs"/>
          <w:snapToGrid w:val="0"/>
          <w:color w:val="000000"/>
          <w:sz w:val="24"/>
          <w:szCs w:val="24"/>
          <w:rtl/>
          <w:lang w:eastAsia="ja-JP"/>
        </w:rPr>
        <w:t xml:space="preserve">גם כיום יכול נאשם </w:t>
      </w:r>
      <w:r w:rsidR="00BE5E14">
        <w:rPr>
          <w:rFonts w:cs="David" w:hint="cs"/>
          <w:snapToGrid w:val="0"/>
          <w:color w:val="000000"/>
          <w:sz w:val="24"/>
          <w:szCs w:val="24"/>
          <w:rtl/>
          <w:lang w:eastAsia="ja-JP"/>
        </w:rPr>
        <w:t>ש</w:t>
      </w:r>
      <w:r w:rsidR="00502BB1">
        <w:rPr>
          <w:rFonts w:cs="David" w:hint="cs"/>
          <w:snapToGrid w:val="0"/>
          <w:color w:val="000000"/>
          <w:sz w:val="24"/>
          <w:szCs w:val="24"/>
          <w:rtl/>
          <w:lang w:eastAsia="ja-JP"/>
        </w:rPr>
        <w:t>נגזר עליו עונש מאסר לפנו</w:t>
      </w:r>
      <w:r w:rsidR="00BE5E14">
        <w:rPr>
          <w:rFonts w:cs="David" w:hint="cs"/>
          <w:snapToGrid w:val="0"/>
          <w:color w:val="000000"/>
          <w:sz w:val="24"/>
          <w:szCs w:val="24"/>
          <w:rtl/>
          <w:lang w:eastAsia="ja-JP"/>
        </w:rPr>
        <w:t>ת לנשיא המדינה ולבקש ממנו חנינה</w:t>
      </w:r>
      <w:r w:rsidR="00502BB1">
        <w:rPr>
          <w:rFonts w:cs="David" w:hint="cs"/>
          <w:snapToGrid w:val="0"/>
          <w:color w:val="000000"/>
          <w:sz w:val="24"/>
          <w:szCs w:val="24"/>
          <w:rtl/>
          <w:lang w:eastAsia="ja-JP"/>
        </w:rPr>
        <w:t xml:space="preserve"> </w:t>
      </w:r>
      <w:r w:rsidR="00BE5E14">
        <w:rPr>
          <w:rFonts w:cs="David"/>
          <w:snapToGrid w:val="0"/>
          <w:color w:val="000000"/>
          <w:sz w:val="24"/>
          <w:szCs w:val="24"/>
          <w:rtl/>
          <w:lang w:eastAsia="ja-JP"/>
        </w:rPr>
        <w:t>–</w:t>
      </w:r>
      <w:r w:rsidR="00BE5E14">
        <w:rPr>
          <w:rFonts w:cs="David" w:hint="cs"/>
          <w:snapToGrid w:val="0"/>
          <w:color w:val="000000"/>
          <w:sz w:val="24"/>
          <w:szCs w:val="24"/>
          <w:rtl/>
          <w:lang w:eastAsia="ja-JP"/>
        </w:rPr>
        <w:t xml:space="preserve"> </w:t>
      </w:r>
      <w:r w:rsidR="00502BB1">
        <w:rPr>
          <w:rFonts w:cs="David" w:hint="cs"/>
          <w:snapToGrid w:val="0"/>
          <w:color w:val="000000"/>
          <w:sz w:val="24"/>
          <w:szCs w:val="24"/>
          <w:rtl/>
          <w:lang w:eastAsia="ja-JP"/>
        </w:rPr>
        <w:t>בין היתר בשל נסיבות רפואיו</w:t>
      </w:r>
      <w:r w:rsidR="00180B22">
        <w:rPr>
          <w:rFonts w:cs="David" w:hint="cs"/>
          <w:snapToGrid w:val="0"/>
          <w:color w:val="000000"/>
          <w:sz w:val="24"/>
          <w:szCs w:val="24"/>
          <w:rtl/>
          <w:lang w:eastAsia="ja-JP"/>
        </w:rPr>
        <w:t>ת</w:t>
      </w:r>
      <w:r w:rsidR="00502BB1">
        <w:rPr>
          <w:rFonts w:cs="David" w:hint="cs"/>
          <w:snapToGrid w:val="0"/>
          <w:color w:val="000000"/>
          <w:sz w:val="24"/>
          <w:szCs w:val="24"/>
          <w:rtl/>
          <w:lang w:eastAsia="ja-JP"/>
        </w:rPr>
        <w:t xml:space="preserve"> </w:t>
      </w:r>
      <w:r w:rsidR="00180B22">
        <w:rPr>
          <w:rFonts w:cs="David"/>
          <w:snapToGrid w:val="0"/>
          <w:color w:val="000000"/>
          <w:sz w:val="24"/>
          <w:szCs w:val="24"/>
          <w:rtl/>
          <w:lang w:eastAsia="ja-JP"/>
        </w:rPr>
        <w:t>–</w:t>
      </w:r>
      <w:r w:rsidR="00180B22">
        <w:rPr>
          <w:rFonts w:cs="David" w:hint="cs"/>
          <w:snapToGrid w:val="0"/>
          <w:color w:val="000000"/>
          <w:sz w:val="24"/>
          <w:szCs w:val="24"/>
          <w:rtl/>
          <w:lang w:eastAsia="ja-JP"/>
        </w:rPr>
        <w:t xml:space="preserve"> </w:t>
      </w:r>
      <w:r w:rsidR="00502BB1">
        <w:rPr>
          <w:rFonts w:cs="David" w:hint="cs"/>
          <w:snapToGrid w:val="0"/>
          <w:color w:val="000000"/>
          <w:sz w:val="24"/>
          <w:szCs w:val="24"/>
          <w:rtl/>
          <w:lang w:eastAsia="ja-JP"/>
        </w:rPr>
        <w:t>ב</w:t>
      </w:r>
      <w:r w:rsidR="00180B22">
        <w:rPr>
          <w:rFonts w:cs="David" w:hint="cs"/>
          <w:snapToGrid w:val="0"/>
          <w:color w:val="000000"/>
          <w:sz w:val="24"/>
          <w:szCs w:val="24"/>
          <w:rtl/>
          <w:lang w:eastAsia="ja-JP"/>
        </w:rPr>
        <w:t>רם</w:t>
      </w:r>
      <w:r w:rsidR="00502BB1">
        <w:rPr>
          <w:rFonts w:cs="David" w:hint="cs"/>
          <w:snapToGrid w:val="0"/>
          <w:color w:val="000000"/>
          <w:sz w:val="24"/>
          <w:szCs w:val="24"/>
          <w:rtl/>
          <w:lang w:eastAsia="ja-JP"/>
        </w:rPr>
        <w:t xml:space="preserve"> </w:t>
      </w:r>
      <w:r w:rsidR="00502BB1" w:rsidRPr="00502BB1">
        <w:rPr>
          <w:rFonts w:cs="David"/>
          <w:snapToGrid w:val="0"/>
          <w:color w:val="000000"/>
          <w:sz w:val="24"/>
          <w:szCs w:val="24"/>
          <w:rtl/>
          <w:lang w:eastAsia="ja-JP"/>
        </w:rPr>
        <w:t>הליך החנינה ממושך מא</w:t>
      </w:r>
      <w:r w:rsidR="00BE5E14">
        <w:rPr>
          <w:rFonts w:cs="David" w:hint="cs"/>
          <w:snapToGrid w:val="0"/>
          <w:color w:val="000000"/>
          <w:sz w:val="24"/>
          <w:szCs w:val="24"/>
          <w:rtl/>
          <w:lang w:eastAsia="ja-JP"/>
        </w:rPr>
        <w:t>ו</w:t>
      </w:r>
      <w:r w:rsidR="00BE5E14">
        <w:rPr>
          <w:rFonts w:cs="David"/>
          <w:snapToGrid w:val="0"/>
          <w:color w:val="000000"/>
          <w:sz w:val="24"/>
          <w:szCs w:val="24"/>
          <w:rtl/>
          <w:lang w:eastAsia="ja-JP"/>
        </w:rPr>
        <w:t>ד</w:t>
      </w:r>
      <w:r w:rsidR="00502BB1" w:rsidRPr="00502BB1">
        <w:rPr>
          <w:rFonts w:cs="David"/>
          <w:snapToGrid w:val="0"/>
          <w:color w:val="000000"/>
          <w:sz w:val="24"/>
          <w:szCs w:val="24"/>
          <w:rtl/>
          <w:lang w:eastAsia="ja-JP"/>
        </w:rPr>
        <w:t xml:space="preserve"> ולכן במצבים מסוימים בקשת החנינה </w:t>
      </w:r>
      <w:r w:rsidR="00BE5E14">
        <w:rPr>
          <w:rFonts w:cs="David" w:hint="cs"/>
          <w:snapToGrid w:val="0"/>
          <w:color w:val="000000"/>
          <w:sz w:val="24"/>
          <w:szCs w:val="24"/>
          <w:rtl/>
          <w:lang w:eastAsia="ja-JP"/>
        </w:rPr>
        <w:t xml:space="preserve">אינה </w:t>
      </w:r>
      <w:r w:rsidR="00BE5E14">
        <w:rPr>
          <w:rFonts w:cs="David"/>
          <w:snapToGrid w:val="0"/>
          <w:color w:val="000000"/>
          <w:sz w:val="24"/>
          <w:szCs w:val="24"/>
          <w:rtl/>
          <w:lang w:eastAsia="ja-JP"/>
        </w:rPr>
        <w:t>רל</w:t>
      </w:r>
      <w:r w:rsidR="00BE5E14">
        <w:rPr>
          <w:rFonts w:cs="David" w:hint="cs"/>
          <w:snapToGrid w:val="0"/>
          <w:color w:val="000000"/>
          <w:sz w:val="24"/>
          <w:szCs w:val="24"/>
          <w:rtl/>
          <w:lang w:eastAsia="ja-JP"/>
        </w:rPr>
        <w:t>ב</w:t>
      </w:r>
      <w:r w:rsidR="00502BB1" w:rsidRPr="00502BB1">
        <w:rPr>
          <w:rFonts w:cs="David"/>
          <w:snapToGrid w:val="0"/>
          <w:color w:val="000000"/>
          <w:sz w:val="24"/>
          <w:szCs w:val="24"/>
          <w:rtl/>
          <w:lang w:eastAsia="ja-JP"/>
        </w:rPr>
        <w:t>נטית.</w:t>
      </w:r>
      <w:r w:rsidR="00502BB1">
        <w:rPr>
          <w:rFonts w:cs="David" w:hint="cs"/>
          <w:snapToGrid w:val="0"/>
          <w:color w:val="000000"/>
          <w:sz w:val="24"/>
          <w:szCs w:val="24"/>
          <w:rtl/>
          <w:lang w:eastAsia="ja-JP"/>
        </w:rPr>
        <w:t xml:space="preserve"> החוק המוצע יאפשר לשופט לקצר את העונש </w:t>
      </w:r>
      <w:r w:rsidR="00BE5E14">
        <w:rPr>
          <w:rFonts w:cs="David" w:hint="cs"/>
          <w:snapToGrid w:val="0"/>
          <w:color w:val="000000"/>
          <w:sz w:val="24"/>
          <w:szCs w:val="24"/>
          <w:rtl/>
          <w:lang w:eastAsia="ja-JP"/>
        </w:rPr>
        <w:t xml:space="preserve">כבר בעת </w:t>
      </w:r>
      <w:r w:rsidR="00180B22">
        <w:rPr>
          <w:rFonts w:cs="David" w:hint="cs"/>
          <w:snapToGrid w:val="0"/>
          <w:color w:val="000000"/>
          <w:sz w:val="24"/>
          <w:szCs w:val="24"/>
          <w:rtl/>
          <w:lang w:eastAsia="ja-JP"/>
        </w:rPr>
        <w:t>הטלת</w:t>
      </w:r>
      <w:r w:rsidR="00BE5E14">
        <w:rPr>
          <w:rFonts w:cs="David" w:hint="cs"/>
          <w:snapToGrid w:val="0"/>
          <w:color w:val="000000"/>
          <w:sz w:val="24"/>
          <w:szCs w:val="24"/>
          <w:rtl/>
          <w:lang w:eastAsia="ja-JP"/>
        </w:rPr>
        <w:t xml:space="preserve"> העונש, ו</w:t>
      </w:r>
      <w:r w:rsidR="00502BB1">
        <w:rPr>
          <w:rFonts w:cs="David" w:hint="cs"/>
          <w:snapToGrid w:val="0"/>
          <w:color w:val="000000"/>
          <w:sz w:val="24"/>
          <w:szCs w:val="24"/>
          <w:rtl/>
          <w:lang w:eastAsia="ja-JP"/>
        </w:rPr>
        <w:t xml:space="preserve">כך </w:t>
      </w:r>
      <w:r w:rsidR="00BE5E14">
        <w:rPr>
          <w:rFonts w:cs="David" w:hint="cs"/>
          <w:snapToGrid w:val="0"/>
          <w:color w:val="000000"/>
          <w:sz w:val="24"/>
          <w:szCs w:val="24"/>
          <w:rtl/>
          <w:lang w:eastAsia="ja-JP"/>
        </w:rPr>
        <w:t>י</w:t>
      </w:r>
      <w:r w:rsidR="00502BB1">
        <w:rPr>
          <w:rFonts w:cs="David" w:hint="cs"/>
          <w:snapToGrid w:val="0"/>
          <w:color w:val="000000"/>
          <w:sz w:val="24"/>
          <w:szCs w:val="24"/>
          <w:rtl/>
          <w:lang w:eastAsia="ja-JP"/>
        </w:rPr>
        <w:t>ימנע הצורך להמתין זמן ממושך לתוצאות</w:t>
      </w:r>
      <w:r w:rsidR="00180B22">
        <w:rPr>
          <w:rFonts w:cs="David" w:hint="cs"/>
          <w:snapToGrid w:val="0"/>
          <w:color w:val="000000"/>
          <w:sz w:val="24"/>
          <w:szCs w:val="24"/>
          <w:rtl/>
          <w:lang w:eastAsia="ja-JP"/>
        </w:rPr>
        <w:t>יה של</w:t>
      </w:r>
      <w:r w:rsidR="00502BB1">
        <w:rPr>
          <w:rFonts w:cs="David" w:hint="cs"/>
          <w:snapToGrid w:val="0"/>
          <w:color w:val="000000"/>
          <w:sz w:val="24"/>
          <w:szCs w:val="24"/>
          <w:rtl/>
          <w:lang w:eastAsia="ja-JP"/>
        </w:rPr>
        <w:t xml:space="preserve"> בקשת החנינה.</w:t>
      </w:r>
    </w:p>
    <w:p w:rsidR="00D72BD5" w:rsidRPr="00BE5E14" w:rsidRDefault="00BE5E14" w:rsidP="00BE5E14">
      <w:pPr>
        <w:spacing w:after="240" w:line="360" w:lineRule="auto"/>
        <w:jc w:val="both"/>
        <w:rPr>
          <w:rStyle w:val="a8"/>
          <w:rFonts w:cs="David"/>
          <w:b w:val="0"/>
          <w:snapToGrid w:val="0"/>
          <w:color w:val="000000"/>
          <w:sz w:val="24"/>
          <w:szCs w:val="24"/>
          <w:rtl/>
          <w:lang w:eastAsia="ja-JP"/>
        </w:rPr>
      </w:pPr>
      <w:r>
        <w:rPr>
          <w:rFonts w:cs="David"/>
          <w:snapToGrid w:val="0"/>
          <w:color w:val="000000"/>
          <w:sz w:val="24"/>
          <w:szCs w:val="24"/>
          <w:rtl/>
          <w:lang w:eastAsia="ja-JP"/>
        </w:rPr>
        <w:t xml:space="preserve">הצעת החוק </w:t>
      </w:r>
      <w:r>
        <w:rPr>
          <w:rFonts w:cs="David" w:hint="cs"/>
          <w:snapToGrid w:val="0"/>
          <w:color w:val="000000"/>
          <w:sz w:val="24"/>
          <w:szCs w:val="24"/>
          <w:rtl/>
          <w:lang w:eastAsia="ja-JP"/>
        </w:rPr>
        <w:t xml:space="preserve">עתידה </w:t>
      </w:r>
      <w:r>
        <w:rPr>
          <w:rFonts w:cs="David" w:hint="cs"/>
          <w:snapToGrid w:val="0"/>
          <w:color w:val="000000"/>
          <w:sz w:val="24"/>
          <w:szCs w:val="24"/>
          <w:rtl/>
          <w:lang w:eastAsia="ja-JP"/>
        </w:rPr>
        <w:t xml:space="preserve">גם </w:t>
      </w:r>
      <w:r>
        <w:rPr>
          <w:rFonts w:cs="David" w:hint="cs"/>
          <w:snapToGrid w:val="0"/>
          <w:color w:val="000000"/>
          <w:sz w:val="24"/>
          <w:szCs w:val="24"/>
          <w:rtl/>
          <w:lang w:eastAsia="ja-JP"/>
        </w:rPr>
        <w:t>ל</w:t>
      </w:r>
      <w:r>
        <w:rPr>
          <w:rFonts w:cs="David"/>
          <w:snapToGrid w:val="0"/>
          <w:color w:val="000000"/>
          <w:sz w:val="24"/>
          <w:szCs w:val="24"/>
          <w:rtl/>
          <w:lang w:eastAsia="ja-JP"/>
        </w:rPr>
        <w:t>תרום להמש</w:t>
      </w:r>
      <w:r>
        <w:rPr>
          <w:rFonts w:cs="David" w:hint="cs"/>
          <w:snapToGrid w:val="0"/>
          <w:color w:val="000000"/>
          <w:sz w:val="24"/>
          <w:szCs w:val="24"/>
          <w:rtl/>
          <w:lang w:eastAsia="ja-JP"/>
        </w:rPr>
        <w:t>כה של</w:t>
      </w:r>
      <w:r w:rsidRPr="00D72BD5">
        <w:rPr>
          <w:rFonts w:cs="David"/>
          <w:snapToGrid w:val="0"/>
          <w:color w:val="000000"/>
          <w:sz w:val="24"/>
          <w:szCs w:val="24"/>
          <w:rtl/>
          <w:lang w:eastAsia="ja-JP"/>
        </w:rPr>
        <w:t xml:space="preserve"> המדיניות להפחתת העומס בבתי </w:t>
      </w:r>
      <w:r>
        <w:rPr>
          <w:rFonts w:cs="David" w:hint="cs"/>
          <w:snapToGrid w:val="0"/>
          <w:color w:val="000000"/>
          <w:sz w:val="24"/>
          <w:szCs w:val="24"/>
          <w:rtl/>
          <w:lang w:eastAsia="ja-JP"/>
        </w:rPr>
        <w:t>ה</w:t>
      </w:r>
      <w:r>
        <w:rPr>
          <w:rFonts w:cs="David"/>
          <w:snapToGrid w:val="0"/>
          <w:color w:val="000000"/>
          <w:sz w:val="24"/>
          <w:szCs w:val="24"/>
          <w:rtl/>
          <w:lang w:eastAsia="ja-JP"/>
        </w:rPr>
        <w:t>מאסר</w:t>
      </w:r>
      <w:r>
        <w:rPr>
          <w:rFonts w:cs="David" w:hint="cs"/>
          <w:snapToGrid w:val="0"/>
          <w:color w:val="000000"/>
          <w:sz w:val="24"/>
          <w:szCs w:val="24"/>
          <w:rtl/>
          <w:lang w:eastAsia="ja-JP"/>
        </w:rPr>
        <w:t xml:space="preserve">; </w:t>
      </w:r>
      <w:r w:rsidRPr="00D72BD5">
        <w:rPr>
          <w:rFonts w:cs="David"/>
          <w:snapToGrid w:val="0"/>
          <w:color w:val="000000"/>
          <w:sz w:val="24"/>
          <w:szCs w:val="24"/>
          <w:rtl/>
          <w:lang w:eastAsia="ja-JP"/>
        </w:rPr>
        <w:t xml:space="preserve">מדיניות שהחלה </w:t>
      </w:r>
      <w:r>
        <w:rPr>
          <w:rFonts w:cs="David" w:hint="cs"/>
          <w:snapToGrid w:val="0"/>
          <w:color w:val="000000"/>
          <w:sz w:val="24"/>
          <w:szCs w:val="24"/>
          <w:rtl/>
          <w:lang w:eastAsia="ja-JP"/>
        </w:rPr>
        <w:t>ב</w:t>
      </w:r>
      <w:r w:rsidRPr="00D72BD5">
        <w:rPr>
          <w:rFonts w:cs="David"/>
          <w:snapToGrid w:val="0"/>
          <w:color w:val="000000"/>
          <w:sz w:val="24"/>
          <w:szCs w:val="24"/>
          <w:rtl/>
          <w:lang w:eastAsia="ja-JP"/>
        </w:rPr>
        <w:t>עקב</w:t>
      </w:r>
      <w:r>
        <w:rPr>
          <w:rFonts w:cs="David" w:hint="cs"/>
          <w:snapToGrid w:val="0"/>
          <w:color w:val="000000"/>
          <w:sz w:val="24"/>
          <w:szCs w:val="24"/>
          <w:rtl/>
          <w:lang w:eastAsia="ja-JP"/>
        </w:rPr>
        <w:t>ות</w:t>
      </w:r>
      <w:r w:rsidRPr="00D72BD5">
        <w:rPr>
          <w:rFonts w:cs="David"/>
          <w:snapToGrid w:val="0"/>
          <w:color w:val="000000"/>
          <w:sz w:val="24"/>
          <w:szCs w:val="24"/>
          <w:rtl/>
          <w:lang w:eastAsia="ja-JP"/>
        </w:rPr>
        <w:t xml:space="preserve"> פסיקתו של השופט אליקים רוב</w:t>
      </w:r>
      <w:r>
        <w:rPr>
          <w:rFonts w:cs="David"/>
          <w:snapToGrid w:val="0"/>
          <w:color w:val="000000"/>
          <w:sz w:val="24"/>
          <w:szCs w:val="24"/>
          <w:rtl/>
          <w:lang w:eastAsia="ja-JP"/>
        </w:rPr>
        <w:t>ינשטיין</w:t>
      </w:r>
      <w:r>
        <w:rPr>
          <w:rFonts w:cs="David" w:hint="cs"/>
          <w:snapToGrid w:val="0"/>
          <w:color w:val="000000"/>
          <w:sz w:val="24"/>
          <w:szCs w:val="24"/>
          <w:rtl/>
          <w:lang w:eastAsia="ja-JP"/>
        </w:rPr>
        <w:t xml:space="preserve"> בשנת 2017</w:t>
      </w:r>
      <w:r w:rsidRPr="00D72BD5">
        <w:rPr>
          <w:rFonts w:cs="David"/>
          <w:snapToGrid w:val="0"/>
          <w:color w:val="000000"/>
          <w:sz w:val="24"/>
          <w:szCs w:val="24"/>
          <w:rtl/>
          <w:lang w:eastAsia="ja-JP"/>
        </w:rPr>
        <w:t>,</w:t>
      </w:r>
      <w:r>
        <w:rPr>
          <w:rStyle w:val="af0"/>
          <w:snapToGrid w:val="0"/>
          <w:color w:val="000000"/>
          <w:sz w:val="24"/>
          <w:szCs w:val="24"/>
          <w:rtl/>
          <w:lang w:eastAsia="ja-JP"/>
        </w:rPr>
        <w:endnoteReference w:id="1"/>
      </w:r>
      <w:r w:rsidRPr="00D72BD5">
        <w:rPr>
          <w:rFonts w:cs="David"/>
          <w:snapToGrid w:val="0"/>
          <w:color w:val="000000"/>
          <w:sz w:val="24"/>
          <w:szCs w:val="24"/>
          <w:rtl/>
          <w:lang w:eastAsia="ja-JP"/>
        </w:rPr>
        <w:t xml:space="preserve"> ובאה לידי ביטוי בתיקוני חקיקה שונים שאושרו בכנסת.</w:t>
      </w:r>
    </w:p>
    <w:p w:rsidR="00B67482" w:rsidRPr="00B35509" w:rsidRDefault="00A81E14" w:rsidP="00297A32">
      <w:pPr>
        <w:spacing w:after="240" w:line="360" w:lineRule="auto"/>
        <w:jc w:val="both"/>
        <w:rPr>
          <w:rFonts w:ascii="Arial" w:hAnsi="Arial" w:cs="Guttman Keren"/>
          <w:b/>
          <w:bCs/>
          <w:color w:val="1D5872"/>
          <w:sz w:val="22"/>
          <w:szCs w:val="22"/>
          <w:rtl/>
        </w:rPr>
      </w:pP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 xml:space="preserve">מבט </w:t>
      </w: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יהודי</w:t>
      </w:r>
    </w:p>
    <w:p w:rsidR="00B67482" w:rsidRDefault="00297A32" w:rsidP="00180B22">
      <w:pPr>
        <w:spacing w:after="240" w:line="360" w:lineRule="auto"/>
        <w:jc w:val="both"/>
        <w:rPr>
          <w:rFonts w:cs="David"/>
          <w:sz w:val="24"/>
          <w:szCs w:val="24"/>
        </w:rPr>
      </w:pPr>
      <w:r>
        <w:rPr>
          <w:rFonts w:cs="David" w:hint="cs"/>
          <w:b/>
          <w:bCs/>
          <w:sz w:val="24"/>
          <w:szCs w:val="24"/>
          <w:rtl/>
        </w:rPr>
        <w:t xml:space="preserve">1. </w:t>
      </w:r>
      <w:r w:rsidR="00666C70">
        <w:rPr>
          <w:rFonts w:cs="David" w:hint="cs"/>
          <w:b/>
          <w:bCs/>
          <w:sz w:val="24"/>
          <w:szCs w:val="24"/>
          <w:rtl/>
        </w:rPr>
        <w:t>עקרון המידתיות בענישה</w:t>
      </w:r>
      <w:r w:rsidR="00B67482">
        <w:rPr>
          <w:rFonts w:cs="David"/>
          <w:b/>
          <w:bCs/>
          <w:sz w:val="24"/>
          <w:szCs w:val="24"/>
          <w:rtl/>
        </w:rPr>
        <w:t xml:space="preserve"> </w:t>
      </w:r>
      <w:r>
        <w:rPr>
          <w:rFonts w:cs="David"/>
          <w:b/>
          <w:bCs/>
          <w:sz w:val="24"/>
          <w:szCs w:val="24"/>
          <w:rtl/>
        </w:rPr>
        <w:t>–</w:t>
      </w:r>
      <w:r>
        <w:rPr>
          <w:rFonts w:cs="David" w:hint="cs"/>
          <w:b/>
          <w:bCs/>
          <w:sz w:val="24"/>
          <w:szCs w:val="24"/>
          <w:rtl/>
        </w:rPr>
        <w:t xml:space="preserve"> </w:t>
      </w:r>
      <w:r w:rsidR="00666C70">
        <w:rPr>
          <w:rFonts w:cs="David" w:hint="cs"/>
          <w:sz w:val="24"/>
          <w:szCs w:val="24"/>
          <w:rtl/>
        </w:rPr>
        <w:t>התורה מדגישה את עקרון המידתיות</w:t>
      </w:r>
      <w:r w:rsidR="003025B7">
        <w:rPr>
          <w:rFonts w:cs="David" w:hint="cs"/>
          <w:sz w:val="24"/>
          <w:szCs w:val="24"/>
          <w:rtl/>
        </w:rPr>
        <w:t xml:space="preserve"> </w:t>
      </w:r>
      <w:r>
        <w:rPr>
          <w:rFonts w:cs="David" w:hint="cs"/>
          <w:sz w:val="24"/>
          <w:szCs w:val="24"/>
          <w:rtl/>
        </w:rPr>
        <w:t>ב</w:t>
      </w:r>
      <w:r w:rsidR="00180B22">
        <w:rPr>
          <w:rFonts w:cs="David" w:hint="cs"/>
          <w:sz w:val="24"/>
          <w:szCs w:val="24"/>
          <w:rtl/>
        </w:rPr>
        <w:t>אומרה</w:t>
      </w:r>
      <w:r w:rsidR="003025B7">
        <w:rPr>
          <w:rFonts w:cs="David" w:hint="cs"/>
          <w:sz w:val="24"/>
          <w:szCs w:val="24"/>
          <w:rtl/>
        </w:rPr>
        <w:t xml:space="preserve"> </w:t>
      </w:r>
      <w:r w:rsidR="00180B22">
        <w:rPr>
          <w:rFonts w:cs="David" w:hint="cs"/>
          <w:sz w:val="24"/>
          <w:szCs w:val="24"/>
          <w:rtl/>
        </w:rPr>
        <w:t xml:space="preserve">כי </w:t>
      </w:r>
      <w:r w:rsidR="00363E32">
        <w:rPr>
          <w:rFonts w:cs="David" w:hint="cs"/>
          <w:sz w:val="24"/>
          <w:szCs w:val="24"/>
          <w:rtl/>
        </w:rPr>
        <w:t>עונש</w:t>
      </w:r>
      <w:r w:rsidR="00180B22">
        <w:rPr>
          <w:rFonts w:cs="David" w:hint="cs"/>
          <w:sz w:val="24"/>
          <w:szCs w:val="24"/>
          <w:rtl/>
        </w:rPr>
        <w:t xml:space="preserve"> מסוים</w:t>
      </w:r>
      <w:r w:rsidR="00363E32">
        <w:rPr>
          <w:rFonts w:cs="David" w:hint="cs"/>
          <w:sz w:val="24"/>
          <w:szCs w:val="24"/>
          <w:rtl/>
        </w:rPr>
        <w:t xml:space="preserve"> הולם את מעשהו של הנאשם ו</w:t>
      </w:r>
      <w:r w:rsidR="003025B7">
        <w:rPr>
          <w:rFonts w:cs="David" w:hint="cs"/>
          <w:sz w:val="24"/>
          <w:szCs w:val="24"/>
          <w:rtl/>
        </w:rPr>
        <w:t>"</w:t>
      </w:r>
      <w:r w:rsidR="00124FD3" w:rsidRPr="00124FD3">
        <w:rPr>
          <w:rFonts w:cs="David"/>
          <w:sz w:val="24"/>
          <w:szCs w:val="24"/>
          <w:rtl/>
        </w:rPr>
        <w:t>כַּא</w:t>
      </w:r>
      <w:r w:rsidR="00124FD3">
        <w:rPr>
          <w:rFonts w:cs="David"/>
          <w:sz w:val="24"/>
          <w:szCs w:val="24"/>
          <w:rtl/>
        </w:rPr>
        <w:t>ֲשֶׁר עָשָׂה כֵּן יֵעָשֶׂה לּוֹ</w:t>
      </w:r>
      <w:r w:rsidR="003025B7">
        <w:rPr>
          <w:rFonts w:cs="David" w:hint="cs"/>
          <w:sz w:val="24"/>
          <w:szCs w:val="24"/>
          <w:rtl/>
        </w:rPr>
        <w:t>"</w:t>
      </w:r>
      <w:r w:rsidR="00124FD3">
        <w:rPr>
          <w:rFonts w:cs="David" w:hint="cs"/>
          <w:sz w:val="24"/>
          <w:szCs w:val="24"/>
          <w:rtl/>
        </w:rPr>
        <w:t xml:space="preserve"> (ויקרא כד, יט)</w:t>
      </w:r>
      <w:r w:rsidR="00363E32">
        <w:rPr>
          <w:rFonts w:cs="David" w:hint="cs"/>
          <w:sz w:val="24"/>
          <w:szCs w:val="24"/>
          <w:rtl/>
        </w:rPr>
        <w:t>.</w:t>
      </w:r>
      <w:r w:rsidR="00124FD3">
        <w:rPr>
          <w:rStyle w:val="af0"/>
          <w:sz w:val="24"/>
          <w:szCs w:val="24"/>
          <w:rtl/>
        </w:rPr>
        <w:endnoteReference w:id="2"/>
      </w:r>
      <w:r w:rsidR="00363E32">
        <w:rPr>
          <w:rFonts w:cs="David" w:hint="cs"/>
          <w:sz w:val="24"/>
          <w:szCs w:val="24"/>
          <w:rtl/>
        </w:rPr>
        <w:t xml:space="preserve"> זהו </w:t>
      </w:r>
      <w:r w:rsidR="00666C70">
        <w:rPr>
          <w:rFonts w:cs="David" w:hint="cs"/>
          <w:sz w:val="24"/>
          <w:szCs w:val="24"/>
          <w:rtl/>
        </w:rPr>
        <w:t>קו מנחה בשיקולי הענישה</w:t>
      </w:r>
      <w:r w:rsidR="00363E32">
        <w:rPr>
          <w:rFonts w:cs="David" w:hint="cs"/>
          <w:sz w:val="24"/>
          <w:szCs w:val="24"/>
          <w:rtl/>
        </w:rPr>
        <w:t xml:space="preserve"> ההלכתיים</w:t>
      </w:r>
      <w:r w:rsidR="00BE5E14">
        <w:rPr>
          <w:rFonts w:cs="David" w:hint="cs"/>
          <w:sz w:val="24"/>
          <w:szCs w:val="24"/>
          <w:rtl/>
        </w:rPr>
        <w:t>;</w:t>
      </w:r>
      <w:r w:rsidR="000A5B85">
        <w:rPr>
          <w:rFonts w:cs="David" w:hint="cs"/>
          <w:sz w:val="24"/>
          <w:szCs w:val="24"/>
          <w:rtl/>
        </w:rPr>
        <w:t xml:space="preserve"> </w:t>
      </w:r>
      <w:r w:rsidR="00BE5E14">
        <w:rPr>
          <w:rFonts w:cs="David" w:hint="cs"/>
          <w:sz w:val="24"/>
          <w:szCs w:val="24"/>
          <w:rtl/>
        </w:rPr>
        <w:t>ועל כן</w:t>
      </w:r>
      <w:r w:rsidR="0075445C">
        <w:rPr>
          <w:rFonts w:cs="David" w:hint="cs"/>
          <w:sz w:val="24"/>
          <w:szCs w:val="24"/>
          <w:rtl/>
        </w:rPr>
        <w:t xml:space="preserve"> במקומות </w:t>
      </w:r>
      <w:r>
        <w:rPr>
          <w:rFonts w:cs="David" w:hint="cs"/>
          <w:sz w:val="24"/>
          <w:szCs w:val="24"/>
          <w:rtl/>
        </w:rPr>
        <w:t>ש</w:t>
      </w:r>
      <w:r w:rsidR="0075445C">
        <w:rPr>
          <w:rFonts w:cs="David" w:hint="cs"/>
          <w:sz w:val="24"/>
          <w:szCs w:val="24"/>
          <w:rtl/>
        </w:rPr>
        <w:t xml:space="preserve">בהם תוצאת העונש הקבוע בדין </w:t>
      </w:r>
      <w:r w:rsidR="00BE5E14">
        <w:rPr>
          <w:rFonts w:cs="David" w:hint="cs"/>
          <w:sz w:val="24"/>
          <w:szCs w:val="24"/>
          <w:rtl/>
        </w:rPr>
        <w:t xml:space="preserve">עתידה להיות חמורה באופן חריג </w:t>
      </w:r>
      <w:r w:rsidR="00BE5E14">
        <w:rPr>
          <w:rFonts w:cs="David"/>
          <w:sz w:val="24"/>
          <w:szCs w:val="24"/>
          <w:rtl/>
        </w:rPr>
        <w:t>–</w:t>
      </w:r>
      <w:r w:rsidR="00BE5E14">
        <w:rPr>
          <w:rFonts w:cs="David" w:hint="cs"/>
          <w:sz w:val="24"/>
          <w:szCs w:val="24"/>
          <w:rtl/>
        </w:rPr>
        <w:t xml:space="preserve"> בעקבות נסיבות מקומיות ואישיות </w:t>
      </w:r>
      <w:r w:rsidR="00BE5E14">
        <w:rPr>
          <w:rFonts w:cs="David"/>
          <w:sz w:val="24"/>
          <w:szCs w:val="24"/>
          <w:rtl/>
        </w:rPr>
        <w:t>–</w:t>
      </w:r>
      <w:r w:rsidR="00BE5E14">
        <w:rPr>
          <w:rFonts w:cs="David" w:hint="cs"/>
          <w:sz w:val="24"/>
          <w:szCs w:val="24"/>
          <w:rtl/>
        </w:rPr>
        <w:t xml:space="preserve"> </w:t>
      </w:r>
      <w:r w:rsidR="00BE5E14">
        <w:rPr>
          <w:rFonts w:cs="David" w:hint="cs"/>
          <w:sz w:val="24"/>
          <w:szCs w:val="24"/>
          <w:rtl/>
        </w:rPr>
        <w:t xml:space="preserve"> ההלכה אכן הקלה בעונשו של הנאשם</w:t>
      </w:r>
      <w:r w:rsidR="0075445C">
        <w:rPr>
          <w:rFonts w:cs="David" w:hint="cs"/>
          <w:sz w:val="24"/>
          <w:szCs w:val="24"/>
          <w:rtl/>
        </w:rPr>
        <w:t xml:space="preserve"> על מנת להשיבו למידתיות הראויה. </w:t>
      </w:r>
      <w:r w:rsidR="00BE5E14">
        <w:rPr>
          <w:rFonts w:cs="David" w:hint="cs"/>
          <w:sz w:val="24"/>
          <w:szCs w:val="24"/>
          <w:rtl/>
        </w:rPr>
        <w:t>לדוגמה</w:t>
      </w:r>
      <w:r w:rsidR="0075445C">
        <w:rPr>
          <w:rFonts w:cs="David" w:hint="cs"/>
          <w:sz w:val="24"/>
          <w:szCs w:val="24"/>
          <w:rtl/>
        </w:rPr>
        <w:t xml:space="preserve">, אף שעונש המלקות הקבוע בתורה הוא שלושים ותשע, חייב בית </w:t>
      </w:r>
      <w:r w:rsidR="00363E32">
        <w:rPr>
          <w:rFonts w:cs="David" w:hint="cs"/>
          <w:sz w:val="24"/>
          <w:szCs w:val="24"/>
          <w:rtl/>
        </w:rPr>
        <w:t>הדין להעמיד רופא שיבחן את הלוקה</w:t>
      </w:r>
      <w:r w:rsidR="0075445C">
        <w:rPr>
          <w:rFonts w:cs="David" w:hint="cs"/>
          <w:sz w:val="24"/>
          <w:szCs w:val="24"/>
          <w:rtl/>
        </w:rPr>
        <w:t xml:space="preserve"> ואם הלה חלש מכדי לשאת עונש זה,</w:t>
      </w:r>
      <w:r w:rsidR="00124FD3">
        <w:rPr>
          <w:rFonts w:cs="David" w:hint="cs"/>
          <w:sz w:val="24"/>
          <w:szCs w:val="24"/>
          <w:rtl/>
        </w:rPr>
        <w:t xml:space="preserve"> מ</w:t>
      </w:r>
      <w:r w:rsidR="0075445C">
        <w:rPr>
          <w:rFonts w:cs="David" w:hint="cs"/>
          <w:sz w:val="24"/>
          <w:szCs w:val="24"/>
          <w:rtl/>
        </w:rPr>
        <w:t>תאים בית הדין את מספר המלקות למצבו של הנידון.</w:t>
      </w:r>
      <w:r w:rsidR="0075445C">
        <w:rPr>
          <w:rStyle w:val="af0"/>
          <w:sz w:val="24"/>
          <w:szCs w:val="24"/>
          <w:rtl/>
        </w:rPr>
        <w:endnoteReference w:id="3"/>
      </w:r>
      <w:r w:rsidR="00363E32">
        <w:rPr>
          <w:rFonts w:cs="David" w:hint="cs"/>
          <w:sz w:val="24"/>
          <w:szCs w:val="24"/>
          <w:rtl/>
        </w:rPr>
        <w:t xml:space="preserve"> ית</w:t>
      </w:r>
      <w:r w:rsidR="0075445C">
        <w:rPr>
          <w:rFonts w:cs="David" w:hint="cs"/>
          <w:sz w:val="24"/>
          <w:szCs w:val="24"/>
          <w:rtl/>
        </w:rPr>
        <w:t>רה מכך, אם החל בית הדין להלקות, ותוך כדי המלקות '</w:t>
      </w:r>
      <w:r w:rsidR="00363E32">
        <w:rPr>
          <w:rFonts w:cs="David" w:hint="cs"/>
          <w:sz w:val="24"/>
          <w:szCs w:val="24"/>
          <w:rtl/>
        </w:rPr>
        <w:t>"נתקלקל בין ברעי בין במים [=איבד שליטה על צ</w:t>
      </w:r>
      <w:r w:rsidR="00124FD3">
        <w:rPr>
          <w:rFonts w:cs="David" w:hint="cs"/>
          <w:sz w:val="24"/>
          <w:szCs w:val="24"/>
          <w:rtl/>
        </w:rPr>
        <w:t>ו</w:t>
      </w:r>
      <w:r w:rsidR="00363E32">
        <w:rPr>
          <w:rFonts w:cs="David" w:hint="cs"/>
          <w:sz w:val="24"/>
          <w:szCs w:val="24"/>
          <w:rtl/>
        </w:rPr>
        <w:t>רכי הגוף]"</w:t>
      </w:r>
      <w:r w:rsidR="0075445C">
        <w:rPr>
          <w:rFonts w:cs="David" w:hint="cs"/>
          <w:sz w:val="24"/>
          <w:szCs w:val="24"/>
          <w:rtl/>
        </w:rPr>
        <w:t xml:space="preserve"> </w:t>
      </w:r>
      <w:r w:rsidR="0075445C">
        <w:rPr>
          <w:rFonts w:cs="David"/>
          <w:sz w:val="24"/>
          <w:szCs w:val="24"/>
          <w:rtl/>
        </w:rPr>
        <w:t>–</w:t>
      </w:r>
      <w:r w:rsidR="0075445C">
        <w:rPr>
          <w:rFonts w:cs="David" w:hint="cs"/>
          <w:sz w:val="24"/>
          <w:szCs w:val="24"/>
          <w:rtl/>
        </w:rPr>
        <w:t xml:space="preserve"> </w:t>
      </w:r>
      <w:r w:rsidR="004028A1">
        <w:rPr>
          <w:rFonts w:cs="David" w:hint="cs"/>
          <w:sz w:val="24"/>
          <w:szCs w:val="24"/>
          <w:rtl/>
        </w:rPr>
        <w:t xml:space="preserve">על </w:t>
      </w:r>
      <w:r w:rsidR="0075445C">
        <w:rPr>
          <w:rFonts w:cs="David" w:hint="cs"/>
          <w:sz w:val="24"/>
          <w:szCs w:val="24"/>
          <w:rtl/>
        </w:rPr>
        <w:t xml:space="preserve">בית הדין </w:t>
      </w:r>
      <w:r w:rsidR="004028A1">
        <w:rPr>
          <w:rFonts w:cs="David" w:hint="cs"/>
          <w:sz w:val="24"/>
          <w:szCs w:val="24"/>
          <w:rtl/>
        </w:rPr>
        <w:t>ל</w:t>
      </w:r>
      <w:r w:rsidR="0075445C">
        <w:rPr>
          <w:rFonts w:cs="David" w:hint="cs"/>
          <w:sz w:val="24"/>
          <w:szCs w:val="24"/>
          <w:rtl/>
        </w:rPr>
        <w:t>הפסיק את המלקות, שהרי מידת העונש הראוי כבר הושגה.</w:t>
      </w:r>
      <w:r w:rsidR="004028A1">
        <w:rPr>
          <w:rStyle w:val="af0"/>
          <w:sz w:val="24"/>
          <w:szCs w:val="24"/>
          <w:rtl/>
        </w:rPr>
        <w:endnoteReference w:id="4"/>
      </w:r>
    </w:p>
    <w:p w:rsidR="002B6C2B" w:rsidRPr="00297A32" w:rsidRDefault="00297A32" w:rsidP="00124FD3">
      <w:pPr>
        <w:spacing w:after="240" w:line="360" w:lineRule="auto"/>
        <w:jc w:val="both"/>
        <w:rPr>
          <w:rFonts w:cs="David"/>
          <w:b/>
          <w:bCs/>
          <w:sz w:val="24"/>
          <w:szCs w:val="24"/>
        </w:rPr>
      </w:pPr>
      <w:r>
        <w:rPr>
          <w:rFonts w:cs="David" w:hint="cs"/>
          <w:b/>
          <w:bCs/>
          <w:sz w:val="24"/>
          <w:szCs w:val="24"/>
          <w:rtl/>
        </w:rPr>
        <w:t xml:space="preserve">2. </w:t>
      </w:r>
      <w:r w:rsidR="002D6419">
        <w:rPr>
          <w:rFonts w:cs="David" w:hint="cs"/>
          <w:b/>
          <w:bCs/>
          <w:sz w:val="24"/>
          <w:szCs w:val="24"/>
          <w:rtl/>
        </w:rPr>
        <w:t>עקרון התועלת בענישה</w:t>
      </w:r>
      <w:r w:rsidR="00B67482" w:rsidRPr="00631452">
        <w:rPr>
          <w:rFonts w:cs="David"/>
          <w:sz w:val="24"/>
          <w:szCs w:val="24"/>
          <w:rtl/>
        </w:rPr>
        <w:t xml:space="preserve"> </w:t>
      </w:r>
      <w:r>
        <w:rPr>
          <w:rFonts w:cs="David"/>
          <w:sz w:val="24"/>
          <w:szCs w:val="24"/>
          <w:rtl/>
        </w:rPr>
        <w:t>–</w:t>
      </w:r>
      <w:r>
        <w:rPr>
          <w:rFonts w:cs="David" w:hint="cs"/>
          <w:sz w:val="24"/>
          <w:szCs w:val="24"/>
          <w:rtl/>
        </w:rPr>
        <w:t xml:space="preserve"> </w:t>
      </w:r>
      <w:r w:rsidR="00026EF5">
        <w:rPr>
          <w:rFonts w:cs="David" w:hint="cs"/>
          <w:sz w:val="24"/>
          <w:szCs w:val="24"/>
          <w:rtl/>
        </w:rPr>
        <w:t>ע</w:t>
      </w:r>
      <w:r w:rsidR="00363E32">
        <w:rPr>
          <w:rFonts w:cs="David" w:hint="cs"/>
          <w:sz w:val="24"/>
          <w:szCs w:val="24"/>
          <w:rtl/>
        </w:rPr>
        <w:t>י</w:t>
      </w:r>
      <w:r w:rsidR="00026EF5">
        <w:rPr>
          <w:rFonts w:cs="David" w:hint="cs"/>
          <w:sz w:val="24"/>
          <w:szCs w:val="24"/>
          <w:rtl/>
        </w:rPr>
        <w:t xml:space="preserve">קרון </w:t>
      </w:r>
      <w:r w:rsidR="00124FD3">
        <w:rPr>
          <w:rFonts w:cs="David" w:hint="cs"/>
          <w:sz w:val="24"/>
          <w:szCs w:val="24"/>
          <w:rtl/>
        </w:rPr>
        <w:t>נוסף</w:t>
      </w:r>
      <w:r w:rsidR="00026EF5">
        <w:rPr>
          <w:rFonts w:cs="David" w:hint="cs"/>
          <w:sz w:val="24"/>
          <w:szCs w:val="24"/>
          <w:rtl/>
        </w:rPr>
        <w:t xml:space="preserve"> </w:t>
      </w:r>
      <w:r w:rsidR="00124FD3">
        <w:rPr>
          <w:rFonts w:cs="David" w:hint="cs"/>
          <w:sz w:val="24"/>
          <w:szCs w:val="24"/>
          <w:rtl/>
        </w:rPr>
        <w:t>ה</w:t>
      </w:r>
      <w:r w:rsidR="00026EF5">
        <w:rPr>
          <w:rFonts w:cs="David" w:hint="cs"/>
          <w:sz w:val="24"/>
          <w:szCs w:val="24"/>
          <w:rtl/>
        </w:rPr>
        <w:t xml:space="preserve">מתווה </w:t>
      </w:r>
      <w:r w:rsidR="00124FD3">
        <w:rPr>
          <w:rFonts w:cs="David" w:hint="cs"/>
          <w:sz w:val="24"/>
          <w:szCs w:val="24"/>
          <w:rtl/>
        </w:rPr>
        <w:t xml:space="preserve">את </w:t>
      </w:r>
      <w:r w:rsidR="00026EF5">
        <w:rPr>
          <w:rFonts w:cs="David" w:hint="cs"/>
          <w:sz w:val="24"/>
          <w:szCs w:val="24"/>
          <w:rtl/>
        </w:rPr>
        <w:t>שיקולי הענישה</w:t>
      </w:r>
      <w:r w:rsidR="00124FD3">
        <w:rPr>
          <w:rFonts w:cs="David" w:hint="cs"/>
          <w:sz w:val="24"/>
          <w:szCs w:val="24"/>
          <w:rtl/>
        </w:rPr>
        <w:t xml:space="preserve"> של התורה</w:t>
      </w:r>
      <w:r w:rsidR="003025B7">
        <w:rPr>
          <w:rFonts w:cs="David" w:hint="cs"/>
          <w:sz w:val="24"/>
          <w:szCs w:val="24"/>
          <w:rtl/>
        </w:rPr>
        <w:t xml:space="preserve">, </w:t>
      </w:r>
      <w:r w:rsidR="00363E32">
        <w:rPr>
          <w:rFonts w:cs="David" w:hint="cs"/>
          <w:sz w:val="24"/>
          <w:szCs w:val="24"/>
          <w:rtl/>
        </w:rPr>
        <w:t>בייחוד</w:t>
      </w:r>
      <w:r w:rsidR="00124FD3">
        <w:rPr>
          <w:rFonts w:cs="David" w:hint="cs"/>
          <w:sz w:val="24"/>
          <w:szCs w:val="24"/>
          <w:rtl/>
        </w:rPr>
        <w:t xml:space="preserve"> ב</w:t>
      </w:r>
      <w:r w:rsidR="003025B7">
        <w:rPr>
          <w:rFonts w:cs="David" w:hint="cs"/>
          <w:sz w:val="24"/>
          <w:szCs w:val="24"/>
          <w:rtl/>
        </w:rPr>
        <w:t>ענישה המוטלת על ידי המדינה, הוא עקרון התועלת</w:t>
      </w:r>
      <w:r w:rsidR="00F63486">
        <w:rPr>
          <w:rStyle w:val="af0"/>
          <w:sz w:val="24"/>
          <w:szCs w:val="24"/>
          <w:rtl/>
        </w:rPr>
        <w:endnoteReference w:id="5"/>
      </w:r>
      <w:r w:rsidR="00F63486">
        <w:rPr>
          <w:rFonts w:cs="David" w:hint="cs"/>
          <w:sz w:val="24"/>
          <w:szCs w:val="24"/>
          <w:rtl/>
        </w:rPr>
        <w:t xml:space="preserve"> </w:t>
      </w:r>
      <w:r w:rsidR="00363E32">
        <w:rPr>
          <w:rFonts w:cs="David"/>
          <w:sz w:val="24"/>
          <w:szCs w:val="24"/>
          <w:rtl/>
        </w:rPr>
        <w:t>–</w:t>
      </w:r>
      <w:r w:rsidR="00363E32">
        <w:rPr>
          <w:rFonts w:cs="David" w:hint="cs"/>
          <w:sz w:val="24"/>
          <w:szCs w:val="24"/>
          <w:rtl/>
        </w:rPr>
        <w:t xml:space="preserve"> </w:t>
      </w:r>
      <w:r w:rsidR="00F63486">
        <w:rPr>
          <w:rFonts w:cs="David" w:hint="cs"/>
          <w:sz w:val="24"/>
          <w:szCs w:val="24"/>
          <w:rtl/>
        </w:rPr>
        <w:t xml:space="preserve">בין לחברה </w:t>
      </w:r>
      <w:r w:rsidR="00363E32">
        <w:rPr>
          <w:rFonts w:cs="David" w:hint="cs"/>
          <w:sz w:val="24"/>
          <w:szCs w:val="24"/>
          <w:rtl/>
        </w:rPr>
        <w:t>(</w:t>
      </w:r>
      <w:r w:rsidR="00F63486">
        <w:rPr>
          <w:rFonts w:cs="David" w:hint="cs"/>
          <w:sz w:val="24"/>
          <w:szCs w:val="24"/>
          <w:rtl/>
        </w:rPr>
        <w:t>על ידי הרחקתו של העבריין</w:t>
      </w:r>
      <w:r w:rsidR="00363E32">
        <w:rPr>
          <w:rFonts w:cs="David" w:hint="cs"/>
          <w:sz w:val="24"/>
          <w:szCs w:val="24"/>
          <w:rtl/>
        </w:rPr>
        <w:t xml:space="preserve">), </w:t>
      </w:r>
      <w:r w:rsidR="00F63486">
        <w:rPr>
          <w:rFonts w:cs="David" w:hint="cs"/>
          <w:sz w:val="24"/>
          <w:szCs w:val="24"/>
          <w:rtl/>
        </w:rPr>
        <w:t xml:space="preserve">בין לעבריין עצמו </w:t>
      </w:r>
      <w:r w:rsidR="00363E32">
        <w:rPr>
          <w:rFonts w:cs="David" w:hint="cs"/>
          <w:sz w:val="24"/>
          <w:szCs w:val="24"/>
          <w:rtl/>
        </w:rPr>
        <w:t>(</w:t>
      </w:r>
      <w:r w:rsidR="00F63486">
        <w:rPr>
          <w:rFonts w:cs="David" w:hint="cs"/>
          <w:sz w:val="24"/>
          <w:szCs w:val="24"/>
          <w:rtl/>
        </w:rPr>
        <w:t>על ידי</w:t>
      </w:r>
      <w:r w:rsidR="003A2B09">
        <w:rPr>
          <w:rFonts w:cs="David" w:hint="cs"/>
          <w:sz w:val="24"/>
          <w:szCs w:val="24"/>
          <w:rtl/>
        </w:rPr>
        <w:t xml:space="preserve"> שיקומו ותיקונו</w:t>
      </w:r>
      <w:r w:rsidR="00363E32">
        <w:rPr>
          <w:rFonts w:cs="David" w:hint="cs"/>
          <w:sz w:val="24"/>
          <w:szCs w:val="24"/>
          <w:rtl/>
        </w:rPr>
        <w:t>);</w:t>
      </w:r>
      <w:r w:rsidR="003A2B09">
        <w:rPr>
          <w:rStyle w:val="af0"/>
          <w:sz w:val="24"/>
          <w:szCs w:val="24"/>
          <w:rtl/>
        </w:rPr>
        <w:endnoteReference w:id="6"/>
      </w:r>
      <w:r>
        <w:rPr>
          <w:rFonts w:cs="David" w:hint="cs"/>
          <w:sz w:val="24"/>
          <w:szCs w:val="24"/>
          <w:rtl/>
        </w:rPr>
        <w:t xml:space="preserve"> </w:t>
      </w:r>
      <w:r w:rsidR="00363E32">
        <w:rPr>
          <w:rFonts w:cs="David" w:hint="cs"/>
          <w:sz w:val="24"/>
          <w:szCs w:val="24"/>
          <w:rtl/>
        </w:rPr>
        <w:t>ו</w:t>
      </w:r>
      <w:r>
        <w:rPr>
          <w:rFonts w:cs="David" w:hint="cs"/>
          <w:sz w:val="24"/>
          <w:szCs w:val="24"/>
          <w:rtl/>
        </w:rPr>
        <w:t>במידה ש</w:t>
      </w:r>
      <w:r w:rsidR="003A2B09">
        <w:rPr>
          <w:rFonts w:cs="David" w:hint="cs"/>
          <w:sz w:val="24"/>
          <w:szCs w:val="24"/>
          <w:rtl/>
        </w:rPr>
        <w:t xml:space="preserve">מטרות אלו אינן מושגות, הענישה מיותרת. </w:t>
      </w:r>
      <w:r w:rsidR="00363E32">
        <w:rPr>
          <w:rFonts w:cs="David" w:hint="cs"/>
          <w:sz w:val="24"/>
          <w:szCs w:val="24"/>
          <w:rtl/>
        </w:rPr>
        <w:t>לדוגמה</w:t>
      </w:r>
      <w:r w:rsidR="003A2B09">
        <w:rPr>
          <w:rFonts w:cs="David" w:hint="cs"/>
          <w:sz w:val="24"/>
          <w:szCs w:val="24"/>
          <w:rtl/>
        </w:rPr>
        <w:t>, ההלכה קובעת כי אדם</w:t>
      </w:r>
      <w:r w:rsidR="00363E32">
        <w:rPr>
          <w:rFonts w:cs="David" w:hint="cs"/>
          <w:sz w:val="24"/>
          <w:szCs w:val="24"/>
          <w:rtl/>
        </w:rPr>
        <w:t xml:space="preserve"> המוגדר כ"טריפה"</w:t>
      </w:r>
      <w:r w:rsidR="003A2B09">
        <w:rPr>
          <w:rFonts w:cs="David" w:hint="cs"/>
          <w:sz w:val="24"/>
          <w:szCs w:val="24"/>
          <w:rtl/>
        </w:rPr>
        <w:t xml:space="preserve"> </w:t>
      </w:r>
      <w:r w:rsidR="00124FD3">
        <w:rPr>
          <w:rFonts w:cs="David" w:hint="cs"/>
          <w:sz w:val="24"/>
          <w:szCs w:val="24"/>
          <w:rtl/>
        </w:rPr>
        <w:t>(</w:t>
      </w:r>
      <w:r w:rsidR="00363E32">
        <w:rPr>
          <w:rFonts w:cs="David" w:hint="cs"/>
          <w:sz w:val="24"/>
          <w:szCs w:val="24"/>
          <w:rtl/>
        </w:rPr>
        <w:t xml:space="preserve">אדם </w:t>
      </w:r>
      <w:r w:rsidR="003A2B09">
        <w:rPr>
          <w:rFonts w:cs="David" w:hint="cs"/>
          <w:sz w:val="24"/>
          <w:szCs w:val="24"/>
          <w:rtl/>
        </w:rPr>
        <w:t>שקרוב לוודאי כי פצ</w:t>
      </w:r>
      <w:r w:rsidR="00363E32">
        <w:rPr>
          <w:rFonts w:cs="David" w:hint="cs"/>
          <w:sz w:val="24"/>
          <w:szCs w:val="24"/>
          <w:rtl/>
        </w:rPr>
        <w:t xml:space="preserve">ע שהוא נושא </w:t>
      </w:r>
      <w:r w:rsidR="00124FD3">
        <w:rPr>
          <w:rFonts w:cs="David" w:hint="cs"/>
          <w:sz w:val="24"/>
          <w:szCs w:val="24"/>
          <w:rtl/>
        </w:rPr>
        <w:t xml:space="preserve">בגופו </w:t>
      </w:r>
      <w:r w:rsidR="00363E32">
        <w:rPr>
          <w:rFonts w:cs="David" w:hint="cs"/>
          <w:sz w:val="24"/>
          <w:szCs w:val="24"/>
          <w:rtl/>
        </w:rPr>
        <w:t>י</w:t>
      </w:r>
      <w:r w:rsidR="00124FD3">
        <w:rPr>
          <w:rFonts w:cs="David" w:hint="cs"/>
          <w:sz w:val="24"/>
          <w:szCs w:val="24"/>
          <w:rtl/>
        </w:rPr>
        <w:t>ביא למותו בתוך פחות משנה)</w:t>
      </w:r>
      <w:r w:rsidR="003A2B09">
        <w:rPr>
          <w:rFonts w:cs="David" w:hint="cs"/>
          <w:sz w:val="24"/>
          <w:szCs w:val="24"/>
          <w:rtl/>
        </w:rPr>
        <w:t xml:space="preserve"> </w:t>
      </w:r>
      <w:r w:rsidR="00363E32">
        <w:rPr>
          <w:rFonts w:cs="David" w:hint="cs"/>
          <w:sz w:val="24"/>
          <w:szCs w:val="24"/>
          <w:rtl/>
        </w:rPr>
        <w:t xml:space="preserve">אינו </w:t>
      </w:r>
      <w:r w:rsidR="003A2B09">
        <w:rPr>
          <w:rFonts w:cs="David" w:hint="cs"/>
          <w:sz w:val="24"/>
          <w:szCs w:val="24"/>
          <w:rtl/>
        </w:rPr>
        <w:t>נענש בעונש מ</w:t>
      </w:r>
      <w:r w:rsidR="00124FD3">
        <w:rPr>
          <w:rFonts w:cs="David" w:hint="cs"/>
          <w:sz w:val="24"/>
          <w:szCs w:val="24"/>
          <w:rtl/>
        </w:rPr>
        <w:t>וות</w:t>
      </w:r>
      <w:r w:rsidR="00987E5E">
        <w:rPr>
          <w:rFonts w:cs="David" w:hint="cs"/>
          <w:sz w:val="24"/>
          <w:szCs w:val="24"/>
          <w:rtl/>
        </w:rPr>
        <w:t xml:space="preserve"> שהרי ממילא מיתתו קרובה</w:t>
      </w:r>
      <w:r w:rsidR="00912739">
        <w:rPr>
          <w:rFonts w:cs="David" w:hint="cs"/>
          <w:sz w:val="24"/>
          <w:szCs w:val="24"/>
          <w:rtl/>
        </w:rPr>
        <w:t xml:space="preserve">. קביעה זו מנומקת על ידי הרמב"ם </w:t>
      </w:r>
      <w:r w:rsidR="00363E32">
        <w:rPr>
          <w:rFonts w:cs="David" w:hint="cs"/>
          <w:sz w:val="24"/>
          <w:szCs w:val="24"/>
          <w:rtl/>
        </w:rPr>
        <w:t>במילים "</w:t>
      </w:r>
      <w:r w:rsidR="00912739" w:rsidRPr="00912739">
        <w:rPr>
          <w:rFonts w:cs="David"/>
          <w:sz w:val="24"/>
          <w:szCs w:val="24"/>
          <w:rtl/>
        </w:rPr>
        <w:t>כמת הם חשובים ואין צריכין מיתה</w:t>
      </w:r>
      <w:r w:rsidR="00363E32">
        <w:rPr>
          <w:rFonts w:cs="David" w:hint="cs"/>
          <w:sz w:val="24"/>
          <w:szCs w:val="24"/>
          <w:rtl/>
        </w:rPr>
        <w:t>"</w:t>
      </w:r>
      <w:r w:rsidR="0004416B">
        <w:rPr>
          <w:rFonts w:cs="David" w:hint="cs"/>
          <w:sz w:val="24"/>
          <w:szCs w:val="24"/>
          <w:rtl/>
        </w:rPr>
        <w:t>.</w:t>
      </w:r>
      <w:r w:rsidR="0004416B">
        <w:rPr>
          <w:rStyle w:val="af0"/>
          <w:sz w:val="24"/>
          <w:szCs w:val="24"/>
          <w:rtl/>
        </w:rPr>
        <w:endnoteReference w:id="7"/>
      </w:r>
      <w:r w:rsidR="0004416B">
        <w:rPr>
          <w:rFonts w:cs="David" w:hint="cs"/>
          <w:sz w:val="24"/>
          <w:szCs w:val="24"/>
          <w:rtl/>
        </w:rPr>
        <w:t xml:space="preserve"> מסיבות דומות, אך באופן כללי יותר, החליטו חכמים לה</w:t>
      </w:r>
      <w:r w:rsidR="00363E32">
        <w:rPr>
          <w:rFonts w:cs="David" w:hint="cs"/>
          <w:sz w:val="24"/>
          <w:szCs w:val="24"/>
          <w:rtl/>
        </w:rPr>
        <w:t>י</w:t>
      </w:r>
      <w:r w:rsidR="0004416B">
        <w:rPr>
          <w:rFonts w:cs="David" w:hint="cs"/>
          <w:sz w:val="24"/>
          <w:szCs w:val="24"/>
          <w:rtl/>
        </w:rPr>
        <w:t>מנע מהטלת עונשי מיתה</w:t>
      </w:r>
      <w:r w:rsidR="00363E32">
        <w:rPr>
          <w:rFonts w:cs="David" w:hint="cs"/>
          <w:sz w:val="24"/>
          <w:szCs w:val="24"/>
          <w:rtl/>
        </w:rPr>
        <w:t xml:space="preserve"> על רצח</w:t>
      </w:r>
      <w:r w:rsidR="0004416B">
        <w:rPr>
          <w:rFonts w:cs="David" w:hint="cs"/>
          <w:sz w:val="24"/>
          <w:szCs w:val="24"/>
          <w:rtl/>
        </w:rPr>
        <w:t xml:space="preserve"> כאשר ראו ש</w:t>
      </w:r>
      <w:r w:rsidR="00363E32">
        <w:rPr>
          <w:rFonts w:cs="David" w:hint="cs"/>
          <w:sz w:val="24"/>
          <w:szCs w:val="24"/>
          <w:rtl/>
        </w:rPr>
        <w:t>ענישה כזו אינה מביאה</w:t>
      </w:r>
      <w:r w:rsidR="0004416B">
        <w:rPr>
          <w:rFonts w:cs="David" w:hint="cs"/>
          <w:sz w:val="24"/>
          <w:szCs w:val="24"/>
          <w:rtl/>
        </w:rPr>
        <w:t xml:space="preserve"> לצמצום מעשי הרצח</w:t>
      </w:r>
      <w:r w:rsidR="00363E32">
        <w:rPr>
          <w:rFonts w:cs="David" w:hint="cs"/>
          <w:sz w:val="24"/>
          <w:szCs w:val="24"/>
          <w:rtl/>
        </w:rPr>
        <w:t>;</w:t>
      </w:r>
      <w:r w:rsidR="009B2B12">
        <w:rPr>
          <w:rFonts w:cs="David" w:hint="cs"/>
          <w:sz w:val="24"/>
          <w:szCs w:val="24"/>
          <w:rtl/>
        </w:rPr>
        <w:t xml:space="preserve"> </w:t>
      </w:r>
      <w:r w:rsidR="00363E32">
        <w:rPr>
          <w:rFonts w:cs="David" w:hint="cs"/>
          <w:sz w:val="24"/>
          <w:szCs w:val="24"/>
          <w:rtl/>
        </w:rPr>
        <w:t xml:space="preserve">והוא הדין להשקאת </w:t>
      </w:r>
      <w:r w:rsidR="009B2B12">
        <w:rPr>
          <w:rFonts w:cs="David" w:hint="cs"/>
          <w:sz w:val="24"/>
          <w:szCs w:val="24"/>
          <w:rtl/>
        </w:rPr>
        <w:t>מי סוטה</w:t>
      </w:r>
      <w:r w:rsidR="00363E32">
        <w:rPr>
          <w:rFonts w:cs="David" w:hint="cs"/>
          <w:sz w:val="24"/>
          <w:szCs w:val="24"/>
          <w:rtl/>
        </w:rPr>
        <w:t xml:space="preserve"> שבוטלה כאשר התברר כי היא אינה מצמצמת את שיעור </w:t>
      </w:r>
      <w:r w:rsidR="009B2B12">
        <w:rPr>
          <w:rFonts w:cs="David" w:hint="cs"/>
          <w:sz w:val="24"/>
          <w:szCs w:val="24"/>
          <w:rtl/>
        </w:rPr>
        <w:lastRenderedPageBreak/>
        <w:t>הנואפים.</w:t>
      </w:r>
      <w:r w:rsidR="009B2B12">
        <w:rPr>
          <w:rStyle w:val="af0"/>
          <w:sz w:val="24"/>
          <w:szCs w:val="24"/>
          <w:rtl/>
        </w:rPr>
        <w:endnoteReference w:id="8"/>
      </w:r>
      <w:r>
        <w:rPr>
          <w:rFonts w:cs="David" w:hint="cs"/>
          <w:b/>
          <w:bCs/>
          <w:sz w:val="24"/>
          <w:szCs w:val="24"/>
          <w:rtl/>
        </w:rPr>
        <w:t xml:space="preserve"> </w:t>
      </w:r>
      <w:r w:rsidR="002B6C2B">
        <w:rPr>
          <w:rFonts w:cs="David" w:hint="cs"/>
          <w:sz w:val="24"/>
          <w:szCs w:val="24"/>
          <w:rtl/>
        </w:rPr>
        <w:t>עקרון התועלת יכול להוביל אותנו להקלה בעונש גם מסיבות החיצוניות למטרת הענישה על העבירה שלפנינו, כגון העומס בבתי הכלא</w:t>
      </w:r>
      <w:r w:rsidR="005631A1">
        <w:rPr>
          <w:rFonts w:cs="David" w:hint="cs"/>
          <w:sz w:val="24"/>
          <w:szCs w:val="24"/>
          <w:rtl/>
        </w:rPr>
        <w:t xml:space="preserve">, והעלויות הגבוהות שהטיפול </w:t>
      </w:r>
      <w:r w:rsidR="000B67D8">
        <w:rPr>
          <w:rFonts w:cs="David" w:hint="cs"/>
          <w:sz w:val="24"/>
          <w:szCs w:val="24"/>
          <w:rtl/>
        </w:rPr>
        <w:t>ב</w:t>
      </w:r>
      <w:r w:rsidR="005631A1">
        <w:rPr>
          <w:rFonts w:cs="David" w:hint="cs"/>
          <w:sz w:val="24"/>
          <w:szCs w:val="24"/>
          <w:rtl/>
        </w:rPr>
        <w:t>עומס זה מסב לחברה.</w:t>
      </w:r>
      <w:r w:rsidR="005631A1">
        <w:rPr>
          <w:rStyle w:val="af0"/>
          <w:sz w:val="24"/>
          <w:szCs w:val="24"/>
          <w:rtl/>
        </w:rPr>
        <w:endnoteReference w:id="9"/>
      </w:r>
    </w:p>
    <w:p w:rsidR="009F2722" w:rsidRPr="00297A32" w:rsidRDefault="00297A32" w:rsidP="00987FDD">
      <w:pPr>
        <w:spacing w:after="240" w:line="360" w:lineRule="auto"/>
        <w:jc w:val="both"/>
        <w:rPr>
          <w:rFonts w:cs="David"/>
          <w:b/>
          <w:bCs/>
          <w:sz w:val="24"/>
          <w:szCs w:val="24"/>
          <w:rtl/>
        </w:rPr>
      </w:pPr>
      <w:r>
        <w:rPr>
          <w:rFonts w:cs="David" w:hint="cs"/>
          <w:b/>
          <w:bCs/>
          <w:sz w:val="24"/>
          <w:szCs w:val="24"/>
          <w:rtl/>
        </w:rPr>
        <w:t xml:space="preserve">3. </w:t>
      </w:r>
      <w:r w:rsidR="00647E10">
        <w:rPr>
          <w:rFonts w:cs="David" w:hint="cs"/>
          <w:b/>
          <w:bCs/>
          <w:sz w:val="24"/>
          <w:szCs w:val="24"/>
          <w:rtl/>
        </w:rPr>
        <w:t xml:space="preserve">שיתוף </w:t>
      </w:r>
      <w:r w:rsidR="005631A1">
        <w:rPr>
          <w:rFonts w:cs="David" w:hint="cs"/>
          <w:b/>
          <w:bCs/>
          <w:sz w:val="24"/>
          <w:szCs w:val="24"/>
          <w:rtl/>
        </w:rPr>
        <w:t>רחמים בדין</w:t>
      </w:r>
      <w:r w:rsidR="005631A1">
        <w:rPr>
          <w:rFonts w:cs="David" w:hint="cs"/>
          <w:sz w:val="24"/>
          <w:szCs w:val="24"/>
          <w:rtl/>
        </w:rPr>
        <w:t xml:space="preserve"> </w:t>
      </w:r>
      <w:r>
        <w:rPr>
          <w:rFonts w:cs="David"/>
          <w:sz w:val="24"/>
          <w:szCs w:val="24"/>
          <w:rtl/>
        </w:rPr>
        <w:t>–</w:t>
      </w:r>
      <w:r>
        <w:rPr>
          <w:rFonts w:cs="David" w:hint="cs"/>
          <w:sz w:val="24"/>
          <w:szCs w:val="24"/>
          <w:rtl/>
        </w:rPr>
        <w:t xml:space="preserve"> </w:t>
      </w:r>
      <w:r w:rsidR="00363E32">
        <w:rPr>
          <w:rFonts w:cs="David" w:hint="cs"/>
          <w:sz w:val="24"/>
          <w:szCs w:val="24"/>
          <w:rtl/>
        </w:rPr>
        <w:t>כלל הוא בידינו</w:t>
      </w:r>
      <w:r w:rsidR="005631A1">
        <w:rPr>
          <w:rFonts w:cs="David" w:hint="cs"/>
          <w:sz w:val="24"/>
          <w:szCs w:val="24"/>
          <w:rtl/>
        </w:rPr>
        <w:t xml:space="preserve"> כי "אין מרחמין בדין"</w:t>
      </w:r>
      <w:r w:rsidR="00124FD3">
        <w:rPr>
          <w:rFonts w:cs="David" w:hint="cs"/>
          <w:sz w:val="24"/>
          <w:szCs w:val="24"/>
          <w:rtl/>
        </w:rPr>
        <w:t xml:space="preserve"> (משנה, כתובות ט, ב)</w:t>
      </w:r>
      <w:r w:rsidR="00647E10">
        <w:rPr>
          <w:rFonts w:cs="David" w:hint="cs"/>
          <w:sz w:val="24"/>
          <w:szCs w:val="24"/>
          <w:rtl/>
        </w:rPr>
        <w:t>,</w:t>
      </w:r>
      <w:r w:rsidR="005631A1">
        <w:rPr>
          <w:rFonts w:cs="David" w:hint="cs"/>
          <w:sz w:val="24"/>
          <w:szCs w:val="24"/>
          <w:rtl/>
        </w:rPr>
        <w:t xml:space="preserve"> </w:t>
      </w:r>
      <w:r w:rsidR="003C7EC7">
        <w:rPr>
          <w:rFonts w:cs="David" w:hint="cs"/>
          <w:sz w:val="24"/>
          <w:szCs w:val="24"/>
          <w:rtl/>
        </w:rPr>
        <w:t xml:space="preserve">וכבר ציוותה </w:t>
      </w:r>
      <w:r w:rsidR="00987FDD">
        <w:rPr>
          <w:rFonts w:cs="David" w:hint="cs"/>
          <w:sz w:val="24"/>
          <w:szCs w:val="24"/>
          <w:rtl/>
        </w:rPr>
        <w:t xml:space="preserve">התורה כי </w:t>
      </w:r>
      <w:r w:rsidR="003C7EC7">
        <w:rPr>
          <w:rFonts w:cs="David" w:hint="cs"/>
          <w:sz w:val="24"/>
          <w:szCs w:val="24"/>
          <w:rtl/>
        </w:rPr>
        <w:t>מי שהורשע בדין ונגזר עונשו למיתה "</w:t>
      </w:r>
      <w:r w:rsidR="003C7EC7" w:rsidRPr="003C7EC7">
        <w:rPr>
          <w:rFonts w:cs="David"/>
          <w:sz w:val="24"/>
          <w:szCs w:val="24"/>
          <w:rtl/>
        </w:rPr>
        <w:t>לֹא תָחוֹס עֵינְךָ עָלָיו</w:t>
      </w:r>
      <w:r w:rsidR="003C7EC7">
        <w:rPr>
          <w:rFonts w:cs="David" w:hint="cs"/>
          <w:sz w:val="24"/>
          <w:szCs w:val="24"/>
          <w:rtl/>
        </w:rPr>
        <w:t>"</w:t>
      </w:r>
      <w:r w:rsidR="00124FD3">
        <w:rPr>
          <w:rFonts w:cs="David" w:hint="cs"/>
          <w:sz w:val="24"/>
          <w:szCs w:val="24"/>
          <w:rtl/>
        </w:rPr>
        <w:t xml:space="preserve"> (דברים יט, יג)</w:t>
      </w:r>
      <w:r w:rsidR="00BA1C0C">
        <w:rPr>
          <w:rFonts w:cs="David" w:hint="cs"/>
          <w:sz w:val="24"/>
          <w:szCs w:val="24"/>
          <w:rtl/>
        </w:rPr>
        <w:t xml:space="preserve">. הדברים נכונים </w:t>
      </w:r>
      <w:r w:rsidR="00124FD3">
        <w:rPr>
          <w:rFonts w:cs="David" w:hint="cs"/>
          <w:sz w:val="24"/>
          <w:szCs w:val="24"/>
          <w:rtl/>
        </w:rPr>
        <w:t xml:space="preserve">גם </w:t>
      </w:r>
      <w:r w:rsidR="00BA1C0C">
        <w:rPr>
          <w:rFonts w:cs="David" w:hint="cs"/>
          <w:sz w:val="24"/>
          <w:szCs w:val="24"/>
          <w:rtl/>
        </w:rPr>
        <w:t xml:space="preserve">כלפי בעלי דין המצויים בנסיבות חריגות, לטוב ולמוטב, כפי שנאמר: </w:t>
      </w:r>
      <w:r w:rsidR="00BA1C0C" w:rsidRPr="00BA1C0C">
        <w:rPr>
          <w:rFonts w:cs="David" w:hint="cs"/>
          <w:sz w:val="24"/>
          <w:szCs w:val="24"/>
          <w:rtl/>
        </w:rPr>
        <w:t>"</w:t>
      </w:r>
      <w:r w:rsidR="00BA1C0C" w:rsidRPr="00BA1C0C">
        <w:rPr>
          <w:rFonts w:cs="David"/>
          <w:sz w:val="24"/>
          <w:szCs w:val="24"/>
          <w:rtl/>
        </w:rPr>
        <w:t>לֹא תַעֲשׂוּ עָוֶל בַּמִּשְׁפָּט לֹא תִשָּׂא פְנֵי דָל וְלֹא תֶהְדַּר פְּנֵי גָדוֹל בְּצֶדֶק תִּשְׁפֹּט עֲמִיתֶךָ</w:t>
      </w:r>
      <w:r w:rsidR="00BA1C0C">
        <w:rPr>
          <w:rFonts w:cs="David" w:hint="cs"/>
          <w:sz w:val="24"/>
          <w:szCs w:val="24"/>
          <w:rtl/>
        </w:rPr>
        <w:t>"</w:t>
      </w:r>
      <w:r w:rsidR="00363E32">
        <w:rPr>
          <w:rFonts w:cs="David" w:hint="cs"/>
          <w:sz w:val="24"/>
          <w:szCs w:val="24"/>
          <w:rtl/>
        </w:rPr>
        <w:t xml:space="preserve"> (ויקרא יט</w:t>
      </w:r>
      <w:r w:rsidR="00BA1C0C">
        <w:rPr>
          <w:rFonts w:cs="David" w:hint="cs"/>
          <w:sz w:val="24"/>
          <w:szCs w:val="24"/>
          <w:rtl/>
        </w:rPr>
        <w:t>,</w:t>
      </w:r>
      <w:r w:rsidR="00363E32">
        <w:rPr>
          <w:rFonts w:cs="David" w:hint="cs"/>
          <w:sz w:val="24"/>
          <w:szCs w:val="24"/>
          <w:rtl/>
        </w:rPr>
        <w:t xml:space="preserve"> טו),</w:t>
      </w:r>
      <w:r w:rsidR="00BA1C0C">
        <w:rPr>
          <w:rStyle w:val="af0"/>
          <w:sz w:val="24"/>
          <w:szCs w:val="24"/>
          <w:rtl/>
        </w:rPr>
        <w:endnoteReference w:id="10"/>
      </w:r>
      <w:r w:rsidR="00124FD3">
        <w:rPr>
          <w:rFonts w:cs="David" w:hint="cs"/>
          <w:sz w:val="24"/>
          <w:szCs w:val="24"/>
          <w:rtl/>
        </w:rPr>
        <w:t xml:space="preserve"> וסיבת הדבר</w:t>
      </w:r>
      <w:r w:rsidR="00BA1C0C" w:rsidRPr="00BA1C0C">
        <w:rPr>
          <w:rFonts w:cs="David"/>
          <w:sz w:val="24"/>
          <w:szCs w:val="24"/>
          <w:rtl/>
        </w:rPr>
        <w:t xml:space="preserve"> </w:t>
      </w:r>
      <w:r w:rsidR="00124FD3">
        <w:rPr>
          <w:rFonts w:cs="David"/>
          <w:sz w:val="24"/>
          <w:szCs w:val="24"/>
          <w:rtl/>
        </w:rPr>
        <w:t>–</w:t>
      </w:r>
      <w:r w:rsidR="00124FD3">
        <w:rPr>
          <w:rFonts w:cs="David" w:hint="cs"/>
          <w:sz w:val="24"/>
          <w:szCs w:val="24"/>
          <w:rtl/>
        </w:rPr>
        <w:t xml:space="preserve"> </w:t>
      </w:r>
      <w:r w:rsidR="003C7EC7">
        <w:rPr>
          <w:rFonts w:cs="David" w:hint="cs"/>
          <w:sz w:val="24"/>
          <w:szCs w:val="24"/>
          <w:rtl/>
        </w:rPr>
        <w:t>"</w:t>
      </w:r>
      <w:r w:rsidR="003C7EC7" w:rsidRPr="003C7EC7">
        <w:rPr>
          <w:rFonts w:cs="David"/>
          <w:sz w:val="24"/>
          <w:szCs w:val="24"/>
          <w:rtl/>
        </w:rPr>
        <w:t>שאם לא יענש המזיק</w:t>
      </w:r>
      <w:r w:rsidR="003C7EC7">
        <w:rPr>
          <w:rFonts w:cs="David" w:hint="cs"/>
          <w:sz w:val="24"/>
          <w:szCs w:val="24"/>
          <w:rtl/>
        </w:rPr>
        <w:t xml:space="preserve">, </w:t>
      </w:r>
      <w:r w:rsidR="003C7EC7" w:rsidRPr="003C7EC7">
        <w:rPr>
          <w:rFonts w:cs="David"/>
          <w:sz w:val="24"/>
          <w:szCs w:val="24"/>
          <w:rtl/>
        </w:rPr>
        <w:t>לא יסתלקו הנזקים כלל, ולא ירתע כלל מי שזומם להרע. ולא כקלות דעת מי שד</w:t>
      </w:r>
      <w:r w:rsidR="00604211">
        <w:rPr>
          <w:rFonts w:cs="David" w:hint="cs"/>
          <w:sz w:val="24"/>
          <w:szCs w:val="24"/>
          <w:rtl/>
        </w:rPr>
        <w:t>י</w:t>
      </w:r>
      <w:r w:rsidR="003C7EC7" w:rsidRPr="003C7EC7">
        <w:rPr>
          <w:rFonts w:cs="David"/>
          <w:sz w:val="24"/>
          <w:szCs w:val="24"/>
          <w:rtl/>
        </w:rPr>
        <w:t>מה כי זניחת העונשין רחמים על בני אדם, אלא היא עצם האכזריות עליהם והפסד סדר המדינה</w:t>
      </w:r>
      <w:r w:rsidR="00604211">
        <w:rPr>
          <w:rFonts w:cs="David" w:hint="cs"/>
          <w:sz w:val="24"/>
          <w:szCs w:val="24"/>
          <w:rtl/>
        </w:rPr>
        <w:t>.</w:t>
      </w:r>
      <w:r w:rsidR="003C7EC7" w:rsidRPr="003C7EC7">
        <w:rPr>
          <w:rFonts w:cs="David"/>
          <w:sz w:val="24"/>
          <w:szCs w:val="24"/>
          <w:rtl/>
        </w:rPr>
        <w:t xml:space="preserve"> אלא הרחמים מה שצוה בו יתעלה 'שופטים ושוטרים תתן לך בכל שעריך'</w:t>
      </w:r>
      <w:r w:rsidR="003C7EC7">
        <w:rPr>
          <w:rFonts w:cs="David" w:hint="cs"/>
          <w:sz w:val="24"/>
          <w:szCs w:val="24"/>
          <w:rtl/>
        </w:rPr>
        <w:t>".</w:t>
      </w:r>
      <w:r w:rsidR="003C7EC7">
        <w:rPr>
          <w:rStyle w:val="af0"/>
          <w:sz w:val="24"/>
          <w:szCs w:val="24"/>
          <w:rtl/>
        </w:rPr>
        <w:endnoteReference w:id="11"/>
      </w:r>
      <w:r>
        <w:rPr>
          <w:rFonts w:cs="David" w:hint="cs"/>
          <w:b/>
          <w:bCs/>
          <w:sz w:val="24"/>
          <w:szCs w:val="24"/>
          <w:rtl/>
        </w:rPr>
        <w:t xml:space="preserve"> </w:t>
      </w:r>
      <w:r w:rsidR="000D11F4">
        <w:rPr>
          <w:rFonts w:cs="David" w:hint="cs"/>
          <w:sz w:val="24"/>
          <w:szCs w:val="24"/>
          <w:rtl/>
        </w:rPr>
        <w:t xml:space="preserve">על אף </w:t>
      </w:r>
      <w:r w:rsidR="00A025E7">
        <w:rPr>
          <w:rFonts w:cs="David" w:hint="cs"/>
          <w:sz w:val="24"/>
          <w:szCs w:val="24"/>
          <w:rtl/>
        </w:rPr>
        <w:t>זאת נותר מקום מסוים</w:t>
      </w:r>
      <w:r w:rsidR="000D11F4">
        <w:rPr>
          <w:rFonts w:cs="David" w:hint="cs"/>
          <w:sz w:val="24"/>
          <w:szCs w:val="24"/>
          <w:rtl/>
        </w:rPr>
        <w:t xml:space="preserve"> למידת הרחמים</w:t>
      </w:r>
      <w:r w:rsidR="00A025E7">
        <w:rPr>
          <w:rFonts w:cs="David" w:hint="cs"/>
          <w:sz w:val="24"/>
          <w:szCs w:val="24"/>
          <w:rtl/>
        </w:rPr>
        <w:t>;</w:t>
      </w:r>
      <w:r w:rsidR="000D11F4">
        <w:rPr>
          <w:rFonts w:cs="David" w:hint="cs"/>
          <w:sz w:val="24"/>
          <w:szCs w:val="24"/>
          <w:rtl/>
        </w:rPr>
        <w:t xml:space="preserve"> </w:t>
      </w:r>
      <w:r w:rsidR="00A025E7">
        <w:rPr>
          <w:rFonts w:cs="David" w:hint="cs"/>
          <w:sz w:val="24"/>
          <w:szCs w:val="24"/>
          <w:rtl/>
        </w:rPr>
        <w:t xml:space="preserve">וכבר לימדונו חכמים כי </w:t>
      </w:r>
      <w:r w:rsidR="000D11F4">
        <w:rPr>
          <w:rFonts w:cs="David" w:hint="cs"/>
          <w:sz w:val="24"/>
          <w:szCs w:val="24"/>
          <w:rtl/>
        </w:rPr>
        <w:t>לא חרבה ירושלים אלא על ש</w:t>
      </w:r>
      <w:r w:rsidR="00987FDD">
        <w:rPr>
          <w:rFonts w:cs="David" w:hint="cs"/>
          <w:sz w:val="24"/>
          <w:szCs w:val="24"/>
          <w:rtl/>
        </w:rPr>
        <w:t xml:space="preserve">דנו בה שלא </w:t>
      </w:r>
      <w:r w:rsidR="000D11F4">
        <w:rPr>
          <w:rFonts w:cs="David" w:hint="cs"/>
          <w:sz w:val="24"/>
          <w:szCs w:val="24"/>
          <w:rtl/>
        </w:rPr>
        <w:t>לפנים משורת הדין.</w:t>
      </w:r>
      <w:r w:rsidR="00647E10">
        <w:rPr>
          <w:rStyle w:val="af0"/>
          <w:sz w:val="24"/>
          <w:szCs w:val="24"/>
          <w:rtl/>
        </w:rPr>
        <w:endnoteReference w:id="12"/>
      </w:r>
      <w:r w:rsidR="00363E32">
        <w:rPr>
          <w:rFonts w:cs="David" w:hint="cs"/>
          <w:sz w:val="24"/>
          <w:szCs w:val="24"/>
          <w:rtl/>
        </w:rPr>
        <w:t xml:space="preserve"> הראי"ה קוק ביאר</w:t>
      </w:r>
      <w:r w:rsidR="000D11F4">
        <w:rPr>
          <w:rFonts w:cs="David" w:hint="cs"/>
          <w:sz w:val="24"/>
          <w:szCs w:val="24"/>
          <w:rtl/>
        </w:rPr>
        <w:t xml:space="preserve"> כי </w:t>
      </w:r>
      <w:r w:rsidR="005F4AC3">
        <w:rPr>
          <w:rFonts w:cs="David" w:hint="cs"/>
          <w:sz w:val="24"/>
          <w:szCs w:val="24"/>
          <w:rtl/>
        </w:rPr>
        <w:t xml:space="preserve">האיסור </w:t>
      </w:r>
      <w:r w:rsidR="00987FDD">
        <w:rPr>
          <w:rFonts w:cs="David" w:hint="cs"/>
          <w:sz w:val="24"/>
          <w:szCs w:val="24"/>
          <w:rtl/>
        </w:rPr>
        <w:t xml:space="preserve">לערב </w:t>
      </w:r>
      <w:r w:rsidR="005F4AC3">
        <w:rPr>
          <w:rFonts w:cs="David" w:hint="cs"/>
          <w:sz w:val="24"/>
          <w:szCs w:val="24"/>
          <w:rtl/>
        </w:rPr>
        <w:t>רחמים</w:t>
      </w:r>
      <w:r w:rsidR="00987FDD">
        <w:rPr>
          <w:rFonts w:cs="David" w:hint="cs"/>
          <w:sz w:val="24"/>
          <w:szCs w:val="24"/>
          <w:rtl/>
        </w:rPr>
        <w:t xml:space="preserve"> בדין</w:t>
      </w:r>
      <w:r w:rsidR="005F4AC3">
        <w:rPr>
          <w:rFonts w:cs="David" w:hint="cs"/>
          <w:sz w:val="24"/>
          <w:szCs w:val="24"/>
          <w:rtl/>
        </w:rPr>
        <w:t xml:space="preserve"> </w:t>
      </w:r>
      <w:r w:rsidR="00987FDD">
        <w:rPr>
          <w:rFonts w:cs="David" w:hint="cs"/>
          <w:sz w:val="24"/>
          <w:szCs w:val="24"/>
          <w:rtl/>
        </w:rPr>
        <w:t xml:space="preserve">קיים </w:t>
      </w:r>
      <w:r w:rsidR="005F4AC3">
        <w:rPr>
          <w:rFonts w:cs="David" w:hint="cs"/>
          <w:sz w:val="24"/>
          <w:szCs w:val="24"/>
          <w:rtl/>
        </w:rPr>
        <w:t xml:space="preserve">דווקא </w:t>
      </w:r>
      <w:r w:rsidR="00987FDD">
        <w:rPr>
          <w:rFonts w:cs="David" w:hint="cs"/>
          <w:sz w:val="24"/>
          <w:szCs w:val="24"/>
          <w:rtl/>
        </w:rPr>
        <w:t xml:space="preserve">כאשר </w:t>
      </w:r>
      <w:r w:rsidR="005F4AC3">
        <w:rPr>
          <w:rFonts w:cs="David" w:hint="cs"/>
          <w:sz w:val="24"/>
          <w:szCs w:val="24"/>
          <w:rtl/>
        </w:rPr>
        <w:t>הפסיקה מבוססת על מידה זו; א</w:t>
      </w:r>
      <w:r w:rsidR="00363E32">
        <w:rPr>
          <w:rFonts w:cs="David" w:hint="cs"/>
          <w:sz w:val="24"/>
          <w:szCs w:val="24"/>
          <w:rtl/>
        </w:rPr>
        <w:t>ו</w:t>
      </w:r>
      <w:r w:rsidR="005F4AC3">
        <w:rPr>
          <w:rFonts w:cs="David" w:hint="cs"/>
          <w:sz w:val="24"/>
          <w:szCs w:val="24"/>
          <w:rtl/>
        </w:rPr>
        <w:t xml:space="preserve">מנם, כאשר המשפט מבוסס על הצדק והדין, </w:t>
      </w:r>
      <w:r w:rsidR="00987FDD">
        <w:rPr>
          <w:rFonts w:cs="David" w:hint="cs"/>
          <w:sz w:val="24"/>
          <w:szCs w:val="24"/>
          <w:rtl/>
        </w:rPr>
        <w:t xml:space="preserve">רשות יש לדיין למתן אותו </w:t>
      </w:r>
      <w:r w:rsidR="00987E5E">
        <w:rPr>
          <w:rFonts w:cs="David" w:hint="cs"/>
          <w:sz w:val="24"/>
          <w:szCs w:val="24"/>
          <w:rtl/>
        </w:rPr>
        <w:t>ולמזג</w:t>
      </w:r>
      <w:r w:rsidR="00A025E7">
        <w:rPr>
          <w:rFonts w:cs="David" w:hint="cs"/>
          <w:sz w:val="24"/>
          <w:szCs w:val="24"/>
          <w:rtl/>
        </w:rPr>
        <w:t xml:space="preserve"> אותו </w:t>
      </w:r>
      <w:r w:rsidR="00987FDD">
        <w:rPr>
          <w:rFonts w:cs="David" w:hint="cs"/>
          <w:sz w:val="24"/>
          <w:szCs w:val="24"/>
          <w:rtl/>
        </w:rPr>
        <w:t>ב</w:t>
      </w:r>
      <w:r w:rsidR="00A025E7">
        <w:rPr>
          <w:rFonts w:cs="David" w:hint="cs"/>
          <w:sz w:val="24"/>
          <w:szCs w:val="24"/>
          <w:rtl/>
        </w:rPr>
        <w:t>מידת הרחמים:</w:t>
      </w:r>
      <w:r w:rsidR="00987E5E">
        <w:rPr>
          <w:rFonts w:cs="David" w:hint="cs"/>
          <w:sz w:val="24"/>
          <w:szCs w:val="24"/>
          <w:rtl/>
        </w:rPr>
        <w:t xml:space="preserve"> </w:t>
      </w:r>
      <w:r w:rsidR="005F4AC3">
        <w:rPr>
          <w:rFonts w:cs="David" w:hint="cs"/>
          <w:sz w:val="24"/>
          <w:szCs w:val="24"/>
          <w:rtl/>
        </w:rPr>
        <w:t xml:space="preserve">"שמדת הרחמים </w:t>
      </w:r>
      <w:r w:rsidR="005F4AC3">
        <w:rPr>
          <w:rFonts w:cs="David"/>
          <w:sz w:val="24"/>
          <w:szCs w:val="24"/>
          <w:rtl/>
        </w:rPr>
        <w:t>–</w:t>
      </w:r>
      <w:r w:rsidR="005F4AC3">
        <w:rPr>
          <w:rFonts w:cs="David" w:hint="cs"/>
          <w:sz w:val="24"/>
          <w:szCs w:val="24"/>
          <w:rtl/>
        </w:rPr>
        <w:t xml:space="preserve"> במדה שאינה מקלקלת את שורת הדין </w:t>
      </w:r>
      <w:r w:rsidR="005F4AC3">
        <w:rPr>
          <w:rFonts w:cs="David"/>
          <w:sz w:val="24"/>
          <w:szCs w:val="24"/>
          <w:rtl/>
        </w:rPr>
        <w:t>–</w:t>
      </w:r>
      <w:r w:rsidR="005F4AC3">
        <w:rPr>
          <w:rFonts w:cs="David" w:hint="cs"/>
          <w:sz w:val="24"/>
          <w:szCs w:val="24"/>
          <w:rtl/>
        </w:rPr>
        <w:t xml:space="preserve"> היא נוהגת במשפט".</w:t>
      </w:r>
      <w:r w:rsidR="00647E10">
        <w:rPr>
          <w:rStyle w:val="af0"/>
          <w:sz w:val="24"/>
          <w:szCs w:val="24"/>
        </w:rPr>
        <w:endnoteReference w:id="13"/>
      </w:r>
      <w:r w:rsidR="005F4AC3">
        <w:rPr>
          <w:rFonts w:cs="David" w:hint="cs"/>
          <w:sz w:val="24"/>
          <w:szCs w:val="24"/>
          <w:rtl/>
        </w:rPr>
        <w:t xml:space="preserve"> </w:t>
      </w:r>
      <w:r>
        <w:rPr>
          <w:rFonts w:cs="David" w:hint="cs"/>
          <w:sz w:val="24"/>
          <w:szCs w:val="24"/>
          <w:rtl/>
        </w:rPr>
        <w:t>נראה שהקלה מסו</w:t>
      </w:r>
      <w:r w:rsidR="00987E5E">
        <w:rPr>
          <w:rFonts w:cs="David" w:hint="cs"/>
          <w:sz w:val="24"/>
          <w:szCs w:val="24"/>
          <w:rtl/>
        </w:rPr>
        <w:t>ימת במתווה העונש בהתאם לנסיבות רפואיות חריגות אינה פורצת את שורת הדין, כל עוד שהשופט מקפיד "שלא להרבות בשיעורה במידה כזאת שתקלקל את מידת היושר של המשפט".</w:t>
      </w:r>
      <w:r w:rsidR="00A025E7">
        <w:rPr>
          <w:rStyle w:val="af0"/>
          <w:sz w:val="24"/>
          <w:szCs w:val="24"/>
          <w:rtl/>
        </w:rPr>
        <w:endnoteReference w:id="14"/>
      </w:r>
    </w:p>
    <w:p w:rsidR="00B67482" w:rsidRPr="00363E32" w:rsidRDefault="00A81E14" w:rsidP="00363E32">
      <w:pPr>
        <w:spacing w:after="240" w:line="360" w:lineRule="auto"/>
        <w:jc w:val="both"/>
        <w:rPr>
          <w:rFonts w:cs="David"/>
          <w:b/>
          <w:bCs/>
          <w:sz w:val="24"/>
          <w:szCs w:val="24"/>
          <w:rtl/>
        </w:rPr>
      </w:pPr>
      <w:r>
        <w:rPr>
          <w:rFonts w:cs="David" w:hint="cs"/>
          <w:b/>
          <w:bCs/>
          <w:sz w:val="24"/>
          <w:szCs w:val="24"/>
          <w:rtl/>
        </w:rPr>
        <w:t xml:space="preserve">לאור האמור, רבני </w:t>
      </w:r>
      <w:r w:rsidR="00297A32">
        <w:rPr>
          <w:rFonts w:cs="David" w:hint="cs"/>
          <w:b/>
          <w:bCs/>
          <w:sz w:val="24"/>
          <w:szCs w:val="24"/>
          <w:rtl/>
        </w:rPr>
        <w:t>'</w:t>
      </w:r>
      <w:r>
        <w:rPr>
          <w:rFonts w:cs="David" w:hint="cs"/>
          <w:b/>
          <w:bCs/>
          <w:sz w:val="24"/>
          <w:szCs w:val="24"/>
          <w:rtl/>
        </w:rPr>
        <w:t>צהר</w:t>
      </w:r>
      <w:r w:rsidR="00297A32">
        <w:rPr>
          <w:rFonts w:cs="David" w:hint="cs"/>
          <w:b/>
          <w:bCs/>
          <w:sz w:val="24"/>
          <w:szCs w:val="24"/>
          <w:rtl/>
        </w:rPr>
        <w:t>'</w:t>
      </w:r>
      <w:r>
        <w:rPr>
          <w:rFonts w:cs="David" w:hint="cs"/>
          <w:b/>
          <w:bCs/>
          <w:sz w:val="24"/>
          <w:szCs w:val="24"/>
          <w:rtl/>
        </w:rPr>
        <w:t xml:space="preserve"> </w:t>
      </w:r>
      <w:r w:rsidR="003C7EC7">
        <w:rPr>
          <w:rFonts w:cs="David" w:hint="cs"/>
          <w:b/>
          <w:bCs/>
          <w:sz w:val="24"/>
          <w:szCs w:val="24"/>
          <w:rtl/>
        </w:rPr>
        <w:t xml:space="preserve">ממליצים כי נסיבותיו הרפואיות של הנאשם אכן יוכלו, במקרי קיצון, </w:t>
      </w:r>
      <w:r w:rsidR="00604211">
        <w:rPr>
          <w:rFonts w:cs="David" w:hint="cs"/>
          <w:b/>
          <w:bCs/>
          <w:sz w:val="24"/>
          <w:szCs w:val="24"/>
          <w:rtl/>
        </w:rPr>
        <w:t>להביא</w:t>
      </w:r>
      <w:r w:rsidR="00363E32">
        <w:rPr>
          <w:rFonts w:cs="David" w:hint="cs"/>
          <w:b/>
          <w:bCs/>
          <w:sz w:val="24"/>
          <w:szCs w:val="24"/>
          <w:rtl/>
        </w:rPr>
        <w:t xml:space="preserve"> לחריגה ממתחם הענישה הקבוע בחוק</w:t>
      </w:r>
      <w:r w:rsidR="00604211">
        <w:rPr>
          <w:rFonts w:cs="David" w:hint="cs"/>
          <w:b/>
          <w:bCs/>
          <w:sz w:val="24"/>
          <w:szCs w:val="24"/>
          <w:rtl/>
        </w:rPr>
        <w:t xml:space="preserve"> </w:t>
      </w:r>
      <w:r w:rsidR="00363E32">
        <w:rPr>
          <w:rFonts w:cs="David"/>
          <w:b/>
          <w:bCs/>
          <w:sz w:val="24"/>
          <w:szCs w:val="24"/>
          <w:rtl/>
        </w:rPr>
        <w:t>–</w:t>
      </w:r>
      <w:r w:rsidR="00363E32">
        <w:rPr>
          <w:rFonts w:cs="David" w:hint="cs"/>
          <w:b/>
          <w:bCs/>
          <w:sz w:val="24"/>
          <w:szCs w:val="24"/>
          <w:rtl/>
        </w:rPr>
        <w:t xml:space="preserve"> בייחוד </w:t>
      </w:r>
      <w:r w:rsidR="00647E10">
        <w:rPr>
          <w:rFonts w:cs="David" w:hint="cs"/>
          <w:b/>
          <w:bCs/>
          <w:sz w:val="24"/>
          <w:szCs w:val="24"/>
          <w:rtl/>
        </w:rPr>
        <w:t>כאשר</w:t>
      </w:r>
      <w:r w:rsidR="00604211">
        <w:rPr>
          <w:rFonts w:cs="David" w:hint="cs"/>
          <w:b/>
          <w:bCs/>
          <w:sz w:val="24"/>
          <w:szCs w:val="24"/>
          <w:rtl/>
        </w:rPr>
        <w:t xml:space="preserve"> חריגה</w:t>
      </w:r>
      <w:r w:rsidR="00363E32">
        <w:rPr>
          <w:rFonts w:cs="David" w:hint="cs"/>
          <w:b/>
          <w:bCs/>
          <w:sz w:val="24"/>
          <w:szCs w:val="24"/>
          <w:rtl/>
        </w:rPr>
        <w:t xml:space="preserve"> זו עולה בקנה אחד עם מידת הצדק ועם תועלת הציבור. </w:t>
      </w:r>
      <w:r w:rsidR="00604211">
        <w:rPr>
          <w:rFonts w:cs="David" w:hint="cs"/>
          <w:b/>
          <w:bCs/>
          <w:sz w:val="24"/>
          <w:szCs w:val="24"/>
          <w:rtl/>
        </w:rPr>
        <w:t>נוסף</w:t>
      </w:r>
      <w:r w:rsidR="00363E32">
        <w:rPr>
          <w:rFonts w:cs="David" w:hint="cs"/>
          <w:b/>
          <w:bCs/>
          <w:sz w:val="24"/>
          <w:szCs w:val="24"/>
          <w:rtl/>
        </w:rPr>
        <w:t xml:space="preserve"> על כך</w:t>
      </w:r>
      <w:r w:rsidR="00604211">
        <w:rPr>
          <w:rFonts w:cs="David" w:hint="cs"/>
          <w:b/>
          <w:bCs/>
          <w:sz w:val="24"/>
          <w:szCs w:val="24"/>
          <w:rtl/>
        </w:rPr>
        <w:t>, מומ</w:t>
      </w:r>
      <w:r w:rsidR="00363E32">
        <w:rPr>
          <w:rFonts w:cs="David" w:hint="cs"/>
          <w:b/>
          <w:bCs/>
          <w:sz w:val="24"/>
          <w:szCs w:val="24"/>
          <w:rtl/>
        </w:rPr>
        <w:t>לץ כי מגוון עבודות השירות יורחב</w:t>
      </w:r>
      <w:r w:rsidR="00604211">
        <w:rPr>
          <w:rFonts w:cs="David" w:hint="cs"/>
          <w:b/>
          <w:bCs/>
          <w:sz w:val="24"/>
          <w:szCs w:val="24"/>
          <w:rtl/>
        </w:rPr>
        <w:t xml:space="preserve"> </w:t>
      </w:r>
      <w:r w:rsidR="00363E32">
        <w:rPr>
          <w:rFonts w:cs="David" w:hint="cs"/>
          <w:b/>
          <w:bCs/>
          <w:sz w:val="24"/>
          <w:szCs w:val="24"/>
          <w:rtl/>
        </w:rPr>
        <w:t>ו</w:t>
      </w:r>
      <w:r w:rsidR="00604211">
        <w:rPr>
          <w:rFonts w:cs="David" w:hint="cs"/>
          <w:b/>
          <w:bCs/>
          <w:sz w:val="24"/>
          <w:szCs w:val="24"/>
          <w:rtl/>
        </w:rPr>
        <w:t xml:space="preserve">בעלי נסיבות רפואיות חריגות יוכלו לתרום לחברה </w:t>
      </w:r>
      <w:r w:rsidR="00363E32">
        <w:rPr>
          <w:rFonts w:cs="David" w:hint="cs"/>
          <w:b/>
          <w:bCs/>
          <w:sz w:val="24"/>
          <w:szCs w:val="24"/>
          <w:rtl/>
        </w:rPr>
        <w:t>במסגרת מגבלותיהם ו</w:t>
      </w:r>
      <w:r w:rsidR="00604211">
        <w:rPr>
          <w:rFonts w:cs="David" w:hint="cs"/>
          <w:b/>
          <w:bCs/>
          <w:sz w:val="24"/>
          <w:szCs w:val="24"/>
          <w:rtl/>
        </w:rPr>
        <w:t>כך ת</w:t>
      </w:r>
      <w:r w:rsidR="00297A32">
        <w:rPr>
          <w:rFonts w:cs="David" w:hint="cs"/>
          <w:b/>
          <w:bCs/>
          <w:sz w:val="24"/>
          <w:szCs w:val="24"/>
          <w:rtl/>
        </w:rPr>
        <w:t>י</w:t>
      </w:r>
      <w:r w:rsidR="00604211">
        <w:rPr>
          <w:rFonts w:cs="David" w:hint="cs"/>
          <w:b/>
          <w:bCs/>
          <w:sz w:val="24"/>
          <w:szCs w:val="24"/>
          <w:rtl/>
        </w:rPr>
        <w:t>נתן להם האפשרות ל</w:t>
      </w:r>
      <w:r w:rsidR="00297A32">
        <w:rPr>
          <w:rFonts w:cs="David" w:hint="cs"/>
          <w:b/>
          <w:bCs/>
          <w:sz w:val="24"/>
          <w:szCs w:val="24"/>
          <w:rtl/>
        </w:rPr>
        <w:t>השיב</w:t>
      </w:r>
      <w:r w:rsidR="00604211">
        <w:rPr>
          <w:rFonts w:cs="David" w:hint="cs"/>
          <w:b/>
          <w:bCs/>
          <w:sz w:val="24"/>
          <w:szCs w:val="24"/>
          <w:rtl/>
        </w:rPr>
        <w:t xml:space="preserve"> את חובם לחברה.</w:t>
      </w:r>
    </w:p>
    <w:sectPr w:rsidR="00B67482" w:rsidRPr="00363E32"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B3" w:rsidRDefault="003D3BB3">
      <w:r>
        <w:separator/>
      </w:r>
    </w:p>
  </w:endnote>
  <w:endnote w:type="continuationSeparator" w:id="0">
    <w:p w:rsidR="003D3BB3" w:rsidRDefault="003D3BB3">
      <w:r>
        <w:continuationSeparator/>
      </w:r>
    </w:p>
  </w:endnote>
  <w:endnote w:id="1">
    <w:p w:rsidR="00BE5E14" w:rsidRDefault="00BE5E14" w:rsidP="00BE5E14">
      <w:pPr>
        <w:pStyle w:val="ae"/>
        <w:rPr>
          <w:rFonts w:hint="cs"/>
        </w:rPr>
      </w:pPr>
      <w:r>
        <w:rPr>
          <w:rStyle w:val="af0"/>
        </w:rPr>
        <w:endnoteRef/>
      </w:r>
      <w:r>
        <w:rPr>
          <w:rtl/>
        </w:rPr>
        <w:t xml:space="preserve"> </w:t>
      </w:r>
      <w:r w:rsidRPr="00180B22">
        <w:rPr>
          <w:snapToGrid w:val="0"/>
          <w:color w:val="000000"/>
          <w:rtl/>
          <w:lang w:eastAsia="ja-JP"/>
        </w:rPr>
        <w:t>בג"ץ 1892/14 האגודה לזכויות האזרח בישראל ואח' נ' השר לביטחון פנים ואח'</w:t>
      </w:r>
      <w:r w:rsidRPr="00180B22">
        <w:rPr>
          <w:rFonts w:hint="cs"/>
          <w:snapToGrid w:val="0"/>
          <w:color w:val="000000"/>
          <w:rtl/>
          <w:lang w:eastAsia="ja-JP"/>
        </w:rPr>
        <w:t>.</w:t>
      </w:r>
    </w:p>
  </w:endnote>
  <w:endnote w:id="2">
    <w:p w:rsidR="00124FD3" w:rsidRDefault="00124FD3" w:rsidP="00124FD3">
      <w:pPr>
        <w:pStyle w:val="ae"/>
        <w:rPr>
          <w:rtl/>
        </w:rPr>
      </w:pPr>
      <w:r>
        <w:rPr>
          <w:rStyle w:val="af0"/>
        </w:rPr>
        <w:endnoteRef/>
      </w:r>
      <w:r>
        <w:rPr>
          <w:rtl/>
        </w:rPr>
        <w:t xml:space="preserve"> </w:t>
      </w:r>
      <w:r>
        <w:rPr>
          <w:rFonts w:hint="cs"/>
          <w:rtl/>
        </w:rPr>
        <w:t xml:space="preserve">מקור מפורסם נוסף </w:t>
      </w:r>
      <w:r>
        <w:rPr>
          <w:rFonts w:hint="cs"/>
          <w:rtl/>
        </w:rPr>
        <w:t>מצוי בפרשת משפטים:</w:t>
      </w:r>
      <w:r>
        <w:rPr>
          <w:rFonts w:hint="cs"/>
          <w:rtl/>
        </w:rPr>
        <w:t xml:space="preserve"> </w:t>
      </w:r>
      <w:r w:rsidRPr="000A5B85">
        <w:rPr>
          <w:rtl/>
        </w:rPr>
        <w:t>"וְאִם אָסוֹן יִהְיֶה וְנָתַתָּה נֶפֶשׁ תַּחַת נָפֶשׁ</w:t>
      </w:r>
      <w:r>
        <w:rPr>
          <w:rFonts w:hint="cs"/>
          <w:rtl/>
        </w:rPr>
        <w:t>.</w:t>
      </w:r>
      <w:r w:rsidRPr="000A5B85">
        <w:rPr>
          <w:rtl/>
        </w:rPr>
        <w:t xml:space="preserve"> עַיִן תַּחַת עַיִן שֵׁן תַּחַת שֵׁן יָ</w:t>
      </w:r>
      <w:r>
        <w:rPr>
          <w:rtl/>
        </w:rPr>
        <w:t>ד תַּחַת יָד רֶגֶל תַּחַת רָגֶל</w:t>
      </w:r>
      <w:r>
        <w:rPr>
          <w:rFonts w:hint="cs"/>
          <w:rtl/>
        </w:rPr>
        <w:t>.</w:t>
      </w:r>
      <w:r w:rsidRPr="000A5B85">
        <w:rPr>
          <w:rtl/>
        </w:rPr>
        <w:t xml:space="preserve">  כְּוִיָּה תַּחַת כְּוִיָּה פֶּצַע תַּחַת פָּצַע חַבּוּרָה תַּחַת חַבּוּרָה" (שמ</w:t>
      </w:r>
      <w:r>
        <w:rPr>
          <w:rtl/>
        </w:rPr>
        <w:t>ות כ</w:t>
      </w:r>
      <w:r w:rsidRPr="000A5B85">
        <w:rPr>
          <w:rtl/>
        </w:rPr>
        <w:t>א, כב</w:t>
      </w:r>
      <w:r>
        <w:rPr>
          <w:rtl/>
        </w:rPr>
        <w:t>–</w:t>
      </w:r>
      <w:r w:rsidRPr="000A5B85">
        <w:rPr>
          <w:rtl/>
        </w:rPr>
        <w:t xml:space="preserve">כה). חכמים החשיבו </w:t>
      </w:r>
      <w:r>
        <w:rPr>
          <w:rFonts w:hint="cs"/>
          <w:rtl/>
        </w:rPr>
        <w:t xml:space="preserve">את </w:t>
      </w:r>
      <w:r w:rsidRPr="000A5B85">
        <w:rPr>
          <w:rtl/>
        </w:rPr>
        <w:t>עקרון ה</w:t>
      </w:r>
      <w:r>
        <w:rPr>
          <w:rFonts w:hint="cs"/>
          <w:rtl/>
        </w:rPr>
        <w:t>מידתיות</w:t>
      </w:r>
      <w:r w:rsidRPr="000A5B85">
        <w:rPr>
          <w:rtl/>
        </w:rPr>
        <w:t xml:space="preserve"> </w:t>
      </w:r>
      <w:r>
        <w:rPr>
          <w:rFonts w:hint="cs"/>
          <w:rtl/>
        </w:rPr>
        <w:t>כעיקרו של הלימוד מן הפסוק</w:t>
      </w:r>
      <w:r w:rsidRPr="000A5B85">
        <w:rPr>
          <w:rtl/>
        </w:rPr>
        <w:t xml:space="preserve">, </w:t>
      </w:r>
      <w:r>
        <w:rPr>
          <w:rFonts w:hint="cs"/>
          <w:rtl/>
        </w:rPr>
        <w:t xml:space="preserve">עד </w:t>
      </w:r>
      <w:r w:rsidRPr="000A5B85">
        <w:rPr>
          <w:rtl/>
        </w:rPr>
        <w:t>שהוא עצמו שימש להם כסיבה ל</w:t>
      </w:r>
      <w:r>
        <w:rPr>
          <w:rFonts w:hint="cs"/>
          <w:rtl/>
        </w:rPr>
        <w:t>הסב את משמעות הפסוק מענישה גופנית לממונית, ש</w:t>
      </w:r>
      <w:r>
        <w:rPr>
          <w:rFonts w:hint="cs"/>
          <w:rtl/>
        </w:rPr>
        <w:t xml:space="preserve">כן </w:t>
      </w:r>
      <w:r>
        <w:rPr>
          <w:rFonts w:hint="cs"/>
          <w:rtl/>
        </w:rPr>
        <w:t>"</w:t>
      </w:r>
      <w:r w:rsidRPr="0075445C">
        <w:rPr>
          <w:rtl/>
        </w:rPr>
        <w:t>הרי שהיתה עינו של זה גדולה ועינו של זה קטנה היאך אני קורא ביה עין תחת עין</w:t>
      </w:r>
      <w:r>
        <w:rPr>
          <w:rFonts w:hint="cs"/>
          <w:rtl/>
        </w:rPr>
        <w:t xml:space="preserve">?", ולפיכך הסיקו שכוונת התורה </w:t>
      </w:r>
      <w:r>
        <w:rPr>
          <w:rFonts w:hint="cs"/>
          <w:rtl/>
        </w:rPr>
        <w:t xml:space="preserve">היא </w:t>
      </w:r>
      <w:r>
        <w:rPr>
          <w:rFonts w:hint="cs"/>
          <w:rtl/>
        </w:rPr>
        <w:t>שהמזי</w:t>
      </w:r>
      <w:r>
        <w:rPr>
          <w:rFonts w:hint="cs"/>
          <w:rtl/>
        </w:rPr>
        <w:t xml:space="preserve">ק ישלם את דמי העין שהוציא (בבא </w:t>
      </w:r>
      <w:r>
        <w:rPr>
          <w:rFonts w:hint="cs"/>
          <w:rtl/>
        </w:rPr>
        <w:t>ק</w:t>
      </w:r>
      <w:r>
        <w:rPr>
          <w:rFonts w:hint="cs"/>
          <w:rtl/>
        </w:rPr>
        <w:t>מא</w:t>
      </w:r>
      <w:r>
        <w:rPr>
          <w:rFonts w:hint="cs"/>
          <w:rtl/>
        </w:rPr>
        <w:t xml:space="preserve"> פג ע"ב). </w:t>
      </w:r>
    </w:p>
  </w:endnote>
  <w:endnote w:id="3">
    <w:p w:rsidR="00987E5E" w:rsidRDefault="00987E5E" w:rsidP="00180B22">
      <w:pPr>
        <w:pStyle w:val="ae"/>
      </w:pPr>
      <w:r>
        <w:rPr>
          <w:rStyle w:val="af0"/>
        </w:rPr>
        <w:endnoteRef/>
      </w:r>
      <w:r>
        <w:rPr>
          <w:rtl/>
        </w:rPr>
        <w:t xml:space="preserve"> </w:t>
      </w:r>
      <w:r w:rsidR="00180B22">
        <w:rPr>
          <w:rFonts w:hint="cs"/>
          <w:rtl/>
        </w:rPr>
        <w:t xml:space="preserve">ראו </w:t>
      </w:r>
      <w:r>
        <w:rPr>
          <w:rFonts w:hint="cs"/>
          <w:rtl/>
        </w:rPr>
        <w:t>משנה</w:t>
      </w:r>
      <w:r w:rsidR="00180B22">
        <w:rPr>
          <w:rFonts w:hint="cs"/>
          <w:rtl/>
        </w:rPr>
        <w:t>,</w:t>
      </w:r>
      <w:r>
        <w:rPr>
          <w:rFonts w:hint="cs"/>
          <w:rtl/>
        </w:rPr>
        <w:t xml:space="preserve"> </w:t>
      </w:r>
      <w:r w:rsidR="00180B22">
        <w:rPr>
          <w:rFonts w:hint="cs"/>
          <w:rtl/>
        </w:rPr>
        <w:t xml:space="preserve">מכות </w:t>
      </w:r>
      <w:r>
        <w:rPr>
          <w:rFonts w:hint="cs"/>
          <w:rtl/>
        </w:rPr>
        <w:t>ג, י</w:t>
      </w:r>
      <w:r w:rsidR="00180B22">
        <w:rPr>
          <w:rtl/>
        </w:rPr>
        <w:t>–</w:t>
      </w:r>
      <w:r>
        <w:rPr>
          <w:rFonts w:hint="cs"/>
          <w:rtl/>
        </w:rPr>
        <w:t>י</w:t>
      </w:r>
      <w:r w:rsidR="00180B22">
        <w:rPr>
          <w:rFonts w:hint="cs"/>
          <w:rtl/>
        </w:rPr>
        <w:t>א. ה'</w:t>
      </w:r>
      <w:r>
        <w:rPr>
          <w:rFonts w:hint="cs"/>
          <w:rtl/>
        </w:rPr>
        <w:t>משנה למלך</w:t>
      </w:r>
      <w:r w:rsidR="00180B22">
        <w:rPr>
          <w:rFonts w:hint="cs"/>
          <w:rtl/>
        </w:rPr>
        <w:t>'</w:t>
      </w:r>
      <w:r>
        <w:rPr>
          <w:rFonts w:hint="cs"/>
          <w:rtl/>
        </w:rPr>
        <w:t xml:space="preserve"> </w:t>
      </w:r>
      <w:r w:rsidR="00180B22">
        <w:rPr>
          <w:rFonts w:hint="cs"/>
          <w:rtl/>
        </w:rPr>
        <w:t xml:space="preserve">(הלכות </w:t>
      </w:r>
      <w:r>
        <w:rPr>
          <w:rFonts w:hint="cs"/>
          <w:rtl/>
        </w:rPr>
        <w:t>סנהדרין</w:t>
      </w:r>
      <w:r w:rsidR="00180B22">
        <w:rPr>
          <w:rFonts w:hint="cs"/>
          <w:rtl/>
        </w:rPr>
        <w:t xml:space="preserve">, פרק </w:t>
      </w:r>
      <w:r>
        <w:rPr>
          <w:rFonts w:hint="cs"/>
          <w:rtl/>
        </w:rPr>
        <w:t xml:space="preserve"> יז,</w:t>
      </w:r>
      <w:r w:rsidR="00180B22">
        <w:rPr>
          <w:rFonts w:hint="cs"/>
          <w:rtl/>
        </w:rPr>
        <w:t xml:space="preserve"> הלכה ה)</w:t>
      </w:r>
      <w:r>
        <w:rPr>
          <w:rFonts w:hint="cs"/>
          <w:rtl/>
        </w:rPr>
        <w:t xml:space="preserve"> הראה </w:t>
      </w:r>
      <w:r w:rsidR="00180B22">
        <w:rPr>
          <w:rFonts w:hint="cs"/>
          <w:rtl/>
        </w:rPr>
        <w:t>ש</w:t>
      </w:r>
      <w:r>
        <w:rPr>
          <w:rFonts w:hint="cs"/>
          <w:rtl/>
        </w:rPr>
        <w:t>הראשונים</w:t>
      </w:r>
      <w:r w:rsidR="00180B22">
        <w:rPr>
          <w:rFonts w:hint="cs"/>
          <w:rtl/>
        </w:rPr>
        <w:t xml:space="preserve"> נחלקו</w:t>
      </w:r>
      <w:r>
        <w:rPr>
          <w:rFonts w:hint="cs"/>
          <w:rtl/>
        </w:rPr>
        <w:t xml:space="preserve"> האם האומדן הוא רק על מנת למנוע מוות, או גם על מנת למנוע התבזות על ידי איבוד השליטה על צ</w:t>
      </w:r>
      <w:r w:rsidR="00180B22">
        <w:rPr>
          <w:rFonts w:hint="cs"/>
          <w:rtl/>
        </w:rPr>
        <w:t>ו</w:t>
      </w:r>
      <w:r>
        <w:rPr>
          <w:rFonts w:hint="cs"/>
          <w:rtl/>
        </w:rPr>
        <w:t>רכי הגוף.</w:t>
      </w:r>
    </w:p>
  </w:endnote>
  <w:endnote w:id="4">
    <w:p w:rsidR="00987E5E" w:rsidRDefault="00987E5E" w:rsidP="00180B22">
      <w:pPr>
        <w:pStyle w:val="ae"/>
      </w:pPr>
      <w:r>
        <w:rPr>
          <w:rStyle w:val="af0"/>
        </w:rPr>
        <w:endnoteRef/>
      </w:r>
      <w:r>
        <w:rPr>
          <w:rtl/>
        </w:rPr>
        <w:t xml:space="preserve"> </w:t>
      </w:r>
      <w:r>
        <w:rPr>
          <w:rFonts w:hint="cs"/>
          <w:rtl/>
        </w:rPr>
        <w:t>משנה</w:t>
      </w:r>
      <w:r w:rsidR="00180B22">
        <w:rPr>
          <w:rFonts w:hint="cs"/>
          <w:rtl/>
        </w:rPr>
        <w:t>,</w:t>
      </w:r>
      <w:r>
        <w:rPr>
          <w:rFonts w:hint="cs"/>
          <w:rtl/>
        </w:rPr>
        <w:t xml:space="preserve"> מכות ג, </w:t>
      </w:r>
      <w:r w:rsidR="00180B22">
        <w:rPr>
          <w:rFonts w:hint="cs"/>
          <w:rtl/>
        </w:rPr>
        <w:t xml:space="preserve">יד; וראו </w:t>
      </w:r>
      <w:r>
        <w:rPr>
          <w:rFonts w:hint="cs"/>
          <w:rtl/>
        </w:rPr>
        <w:t>רש"י</w:t>
      </w:r>
      <w:r w:rsidR="00180B22">
        <w:rPr>
          <w:rFonts w:hint="cs"/>
          <w:rtl/>
        </w:rPr>
        <w:t>, מכות כב ע"ב</w:t>
      </w:r>
      <w:r>
        <w:rPr>
          <w:rFonts w:hint="cs"/>
          <w:rtl/>
        </w:rPr>
        <w:t>.</w:t>
      </w:r>
      <w:r w:rsidR="00180B22">
        <w:rPr>
          <w:rtl/>
        </w:rPr>
        <w:t xml:space="preserve"> דוגמ</w:t>
      </w:r>
      <w:r w:rsidR="00180B22">
        <w:rPr>
          <w:rFonts w:hint="cs"/>
          <w:rtl/>
        </w:rPr>
        <w:t>ה</w:t>
      </w:r>
      <w:r w:rsidRPr="003025B7">
        <w:rPr>
          <w:rtl/>
        </w:rPr>
        <w:t xml:space="preserve"> נוספת היא </w:t>
      </w:r>
      <w:r w:rsidR="00180B22">
        <w:rPr>
          <w:rFonts w:hint="cs"/>
          <w:rtl/>
        </w:rPr>
        <w:t xml:space="preserve">דיניו של </w:t>
      </w:r>
      <w:r w:rsidRPr="003025B7">
        <w:rPr>
          <w:rtl/>
        </w:rPr>
        <w:t>ק</w:t>
      </w:r>
      <w:r w:rsidR="00180B22">
        <w:rPr>
          <w:rFonts w:hint="cs"/>
          <w:rtl/>
        </w:rPr>
        <w:t>ו</w:t>
      </w:r>
      <w:r w:rsidRPr="003025B7">
        <w:rPr>
          <w:rtl/>
        </w:rPr>
        <w:t xml:space="preserve">רבן </w:t>
      </w:r>
      <w:r w:rsidR="00180B22">
        <w:rPr>
          <w:rFonts w:hint="cs"/>
          <w:rtl/>
        </w:rPr>
        <w:t>"</w:t>
      </w:r>
      <w:r w:rsidRPr="003025B7">
        <w:rPr>
          <w:rtl/>
        </w:rPr>
        <w:t>עולה ויורד</w:t>
      </w:r>
      <w:r w:rsidR="00180B22">
        <w:rPr>
          <w:rFonts w:hint="cs"/>
          <w:rtl/>
        </w:rPr>
        <w:t>" (ויקרא ה</w:t>
      </w:r>
      <w:r>
        <w:rPr>
          <w:rFonts w:hint="cs"/>
          <w:rtl/>
        </w:rPr>
        <w:t>, א</w:t>
      </w:r>
      <w:r w:rsidR="00180B22">
        <w:rPr>
          <w:rtl/>
        </w:rPr>
        <w:t>–</w:t>
      </w:r>
      <w:r>
        <w:rPr>
          <w:rFonts w:hint="cs"/>
          <w:rtl/>
        </w:rPr>
        <w:t>יג)</w:t>
      </w:r>
      <w:r w:rsidRPr="003025B7">
        <w:rPr>
          <w:rtl/>
        </w:rPr>
        <w:t xml:space="preserve"> </w:t>
      </w:r>
      <w:r w:rsidR="00180B22">
        <w:rPr>
          <w:rFonts w:hint="cs"/>
          <w:rtl/>
        </w:rPr>
        <w:t xml:space="preserve">שבמסגרתם </w:t>
      </w:r>
      <w:r w:rsidRPr="003025B7">
        <w:rPr>
          <w:rtl/>
        </w:rPr>
        <w:t xml:space="preserve">חייבה התורה את העוברים עבירות מסוימות </w:t>
      </w:r>
      <w:r w:rsidR="00180B22">
        <w:rPr>
          <w:rFonts w:hint="cs"/>
          <w:rtl/>
        </w:rPr>
        <w:t>להביא</w:t>
      </w:r>
      <w:r w:rsidRPr="003025B7">
        <w:rPr>
          <w:rtl/>
        </w:rPr>
        <w:t xml:space="preserve"> ק</w:t>
      </w:r>
      <w:r w:rsidR="00180B22">
        <w:rPr>
          <w:rFonts w:hint="cs"/>
          <w:rtl/>
        </w:rPr>
        <w:t>ו</w:t>
      </w:r>
      <w:r w:rsidRPr="003025B7">
        <w:rPr>
          <w:rtl/>
        </w:rPr>
        <w:t>רבן בהתאם ל</w:t>
      </w:r>
      <w:r w:rsidR="00180B22">
        <w:rPr>
          <w:rFonts w:hint="cs"/>
          <w:rtl/>
        </w:rPr>
        <w:t>יכולתם הכלכלית</w:t>
      </w:r>
      <w:r w:rsidRPr="003025B7">
        <w:rPr>
          <w:rtl/>
        </w:rPr>
        <w:t>.</w:t>
      </w:r>
      <w:r w:rsidRPr="003025B7">
        <w:rPr>
          <w:rFonts w:hint="cs"/>
          <w:rtl/>
        </w:rPr>
        <w:t xml:space="preserve"> </w:t>
      </w:r>
      <w:r>
        <w:rPr>
          <w:rFonts w:hint="cs"/>
          <w:rtl/>
        </w:rPr>
        <w:t xml:space="preserve">ייתכן שגם החטאת הרגילה, </w:t>
      </w:r>
      <w:r w:rsidR="00180B22">
        <w:rPr>
          <w:rFonts w:hint="cs"/>
          <w:rtl/>
        </w:rPr>
        <w:t>ש</w:t>
      </w:r>
      <w:r>
        <w:rPr>
          <w:rFonts w:hint="cs"/>
          <w:rtl/>
        </w:rPr>
        <w:t xml:space="preserve">אותה ניתן להביא כעז או </w:t>
      </w:r>
      <w:r w:rsidR="006E4F52">
        <w:rPr>
          <w:rFonts w:hint="cs"/>
          <w:rtl/>
        </w:rPr>
        <w:t>כ</w:t>
      </w:r>
      <w:r>
        <w:rPr>
          <w:rFonts w:hint="cs"/>
          <w:rtl/>
        </w:rPr>
        <w:t xml:space="preserve">כבש, מאפשרת למעשה ריבוד בין </w:t>
      </w:r>
      <w:r w:rsidR="00180B22">
        <w:rPr>
          <w:rFonts w:hint="cs"/>
          <w:rtl/>
        </w:rPr>
        <w:t>בעלי יכולות כלכליות שונות</w:t>
      </w:r>
      <w:r>
        <w:rPr>
          <w:rFonts w:hint="cs"/>
          <w:rtl/>
        </w:rPr>
        <w:t xml:space="preserve"> </w:t>
      </w:r>
      <w:r w:rsidR="00180B22">
        <w:rPr>
          <w:rFonts w:hint="cs"/>
          <w:rtl/>
        </w:rPr>
        <w:t xml:space="preserve">שכן </w:t>
      </w:r>
      <w:r>
        <w:rPr>
          <w:rFonts w:hint="cs"/>
          <w:rtl/>
        </w:rPr>
        <w:t xml:space="preserve">הכבש </w:t>
      </w:r>
      <w:r w:rsidR="00180B22">
        <w:rPr>
          <w:rFonts w:hint="cs"/>
          <w:rtl/>
        </w:rPr>
        <w:t>יקר יותר מן העז. ראו</w:t>
      </w:r>
      <w:r>
        <w:rPr>
          <w:rFonts w:hint="cs"/>
          <w:rtl/>
        </w:rPr>
        <w:t xml:space="preserve"> יונתן גרוסמן, "</w:t>
      </w:r>
      <w:r w:rsidRPr="002D6419">
        <w:rPr>
          <w:rtl/>
        </w:rPr>
        <w:t>על טעם ועל ריח – כבש או עז?</w:t>
      </w:r>
      <w:r>
        <w:rPr>
          <w:rFonts w:hint="cs"/>
          <w:rtl/>
        </w:rPr>
        <w:t xml:space="preserve">", </w:t>
      </w:r>
      <w:r w:rsidR="00180B22">
        <w:rPr>
          <w:rFonts w:hint="cs"/>
          <w:rtl/>
        </w:rPr>
        <w:t xml:space="preserve">באתר </w:t>
      </w:r>
      <w:r>
        <w:rPr>
          <w:rFonts w:hint="cs"/>
          <w:rtl/>
        </w:rPr>
        <w:t>בית המדרש הו</w:t>
      </w:r>
      <w:r w:rsidR="00180B22">
        <w:rPr>
          <w:rFonts w:hint="cs"/>
          <w:rtl/>
        </w:rPr>
        <w:t>ו</w:t>
      </w:r>
      <w:r>
        <w:rPr>
          <w:rFonts w:hint="cs"/>
          <w:rtl/>
        </w:rPr>
        <w:t xml:space="preserve">ירטואלי </w:t>
      </w:r>
      <w:r w:rsidR="00180B22">
        <w:rPr>
          <w:rFonts w:hint="cs"/>
        </w:rPr>
        <w:t>VBM</w:t>
      </w:r>
      <w:r w:rsidR="00180B22">
        <w:rPr>
          <w:rFonts w:hint="cs"/>
          <w:rtl/>
        </w:rPr>
        <w:t xml:space="preserve"> </w:t>
      </w:r>
      <w:r>
        <w:rPr>
          <w:rFonts w:hint="cs"/>
          <w:rtl/>
        </w:rPr>
        <w:t>(זמין במרשתת).</w:t>
      </w:r>
    </w:p>
  </w:endnote>
  <w:endnote w:id="5">
    <w:p w:rsidR="00987E5E" w:rsidRDefault="00987E5E" w:rsidP="00180B22">
      <w:pPr>
        <w:pStyle w:val="ae"/>
        <w:rPr>
          <w:rtl/>
        </w:rPr>
      </w:pPr>
      <w:r>
        <w:rPr>
          <w:rStyle w:val="af0"/>
        </w:rPr>
        <w:endnoteRef/>
      </w:r>
      <w:r>
        <w:rPr>
          <w:rtl/>
        </w:rPr>
        <w:t xml:space="preserve"> </w:t>
      </w:r>
      <w:r>
        <w:rPr>
          <w:rFonts w:hint="cs"/>
          <w:rtl/>
        </w:rPr>
        <w:t xml:space="preserve">רבים מן הפוסקים והמפרשים </w:t>
      </w:r>
      <w:r w:rsidR="00180B22">
        <w:rPr>
          <w:rFonts w:hint="cs"/>
          <w:rtl/>
        </w:rPr>
        <w:t>תפסת את בתי הדין התורניים כמערכת ה</w:t>
      </w:r>
      <w:r>
        <w:rPr>
          <w:rFonts w:hint="cs"/>
          <w:rtl/>
        </w:rPr>
        <w:t xml:space="preserve">מופקדת על עקרון הצדק, בעוד מערכת בתי המשפט של המלך </w:t>
      </w:r>
      <w:r>
        <w:rPr>
          <w:rtl/>
        </w:rPr>
        <w:t>–</w:t>
      </w:r>
      <w:r>
        <w:rPr>
          <w:rFonts w:hint="cs"/>
          <w:rtl/>
        </w:rPr>
        <w:t xml:space="preserve"> כלומר של השלטון </w:t>
      </w:r>
      <w:r>
        <w:rPr>
          <w:rtl/>
        </w:rPr>
        <w:t>–</w:t>
      </w:r>
      <w:r w:rsidR="00180B22">
        <w:rPr>
          <w:rFonts w:hint="cs"/>
          <w:rtl/>
        </w:rPr>
        <w:t xml:space="preserve"> </w:t>
      </w:r>
      <w:r>
        <w:rPr>
          <w:rFonts w:hint="cs"/>
          <w:rtl/>
        </w:rPr>
        <w:t>מופקדת על עקרון התועלת. ראו דרשות הר"ן, דרוש יא: "</w:t>
      </w:r>
      <w:r w:rsidRPr="00812EB1">
        <w:rPr>
          <w:rtl/>
        </w:rPr>
        <w:t>האחד יחייב להעניש איזה איש כפי משפט אמיתי, והשני</w:t>
      </w:r>
      <w:r>
        <w:rPr>
          <w:rFonts w:hint="cs"/>
          <w:rtl/>
        </w:rPr>
        <w:t>...</w:t>
      </w:r>
      <w:r>
        <w:rPr>
          <w:rtl/>
        </w:rPr>
        <w:t xml:space="preserve"> יחו</w:t>
      </w:r>
      <w:r w:rsidRPr="00812EB1">
        <w:rPr>
          <w:rtl/>
        </w:rPr>
        <w:t>יב להענישו כפי תיקון סדר מדיני וכפי צורך השעה</w:t>
      </w:r>
      <w:r>
        <w:rPr>
          <w:rFonts w:hint="cs"/>
          <w:rtl/>
        </w:rPr>
        <w:t>". הדברים רמוזים כבר ב</w:t>
      </w:r>
      <w:r w:rsidR="006E4F52">
        <w:rPr>
          <w:rFonts w:hint="cs"/>
          <w:rtl/>
        </w:rPr>
        <w:t>'</w:t>
      </w:r>
      <w:r>
        <w:rPr>
          <w:rFonts w:hint="cs"/>
          <w:rtl/>
        </w:rPr>
        <w:t>משנה תורה</w:t>
      </w:r>
      <w:r w:rsidR="006E4F52">
        <w:rPr>
          <w:rFonts w:hint="cs"/>
          <w:rtl/>
        </w:rPr>
        <w:t>'</w:t>
      </w:r>
      <w:r>
        <w:rPr>
          <w:rFonts w:hint="cs"/>
          <w:rtl/>
        </w:rPr>
        <w:t xml:space="preserve"> לרמב"ם (הלכות מלכים, פרק ג, הלכה י): </w:t>
      </w:r>
      <w:r w:rsidRPr="00812EB1">
        <w:rPr>
          <w:rtl/>
        </w:rPr>
        <w:t>"כל ההורג נפשות שלא בראיה ברורה, או בלא התראה, אפילו בעד אחד, או שונא שהרג בשגגה, יש למלך רשות להרגו ולתקן העולם כפי מה שהשעה צריכה, והורג רבים ביום אחד, ותולה ומניחן תלויים ימים רבים, להטיל אימה ולשבר יד רשעי העולם"</w:t>
      </w:r>
      <w:r>
        <w:rPr>
          <w:rFonts w:hint="cs"/>
          <w:rtl/>
        </w:rPr>
        <w:t xml:space="preserve">. להרחבה נוספת ראו אהרן קירשנבאום, בית דין מכין ועונשין: הענישה הפלילית בעם ישראל </w:t>
      </w:r>
      <w:r>
        <w:rPr>
          <w:rtl/>
        </w:rPr>
        <w:t>–</w:t>
      </w:r>
      <w:r>
        <w:rPr>
          <w:rFonts w:hint="cs"/>
          <w:rtl/>
        </w:rPr>
        <w:t xml:space="preserve"> תורת</w:t>
      </w:r>
      <w:r w:rsidR="00180B22">
        <w:rPr>
          <w:rFonts w:hint="cs"/>
          <w:rtl/>
        </w:rPr>
        <w:t>ה ותולדותיה, ירושלים תשע"ג, עמ'</w:t>
      </w:r>
      <w:r>
        <w:rPr>
          <w:rFonts w:hint="cs"/>
          <w:rtl/>
        </w:rPr>
        <w:t xml:space="preserve"> 42</w:t>
      </w:r>
      <w:r>
        <w:rPr>
          <w:rtl/>
        </w:rPr>
        <w:t>–</w:t>
      </w:r>
      <w:r>
        <w:rPr>
          <w:rFonts w:hint="cs"/>
          <w:rtl/>
        </w:rPr>
        <w:t>82.</w:t>
      </w:r>
    </w:p>
  </w:endnote>
  <w:endnote w:id="6">
    <w:p w:rsidR="00987E5E" w:rsidRDefault="00987E5E" w:rsidP="00180B22">
      <w:pPr>
        <w:pStyle w:val="ae"/>
        <w:rPr>
          <w:rtl/>
        </w:rPr>
      </w:pPr>
      <w:r>
        <w:rPr>
          <w:rStyle w:val="af0"/>
        </w:rPr>
        <w:endnoteRef/>
      </w:r>
      <w:r>
        <w:rPr>
          <w:rtl/>
        </w:rPr>
        <w:t xml:space="preserve"> </w:t>
      </w:r>
      <w:r>
        <w:rPr>
          <w:rFonts w:hint="cs"/>
          <w:rtl/>
        </w:rPr>
        <w:t>במערכת ההלכתית, ההרחקה תיעשה בדרך כלל על ידי המתה, ואילו עונשי הק</w:t>
      </w:r>
      <w:r w:rsidR="00180B22">
        <w:rPr>
          <w:rFonts w:hint="cs"/>
          <w:rtl/>
        </w:rPr>
        <w:t>ו</w:t>
      </w:r>
      <w:r>
        <w:rPr>
          <w:rFonts w:hint="cs"/>
          <w:rtl/>
        </w:rPr>
        <w:t>רבנות, הממון והמלקות נועדו לתיקון הנזק ושיקום העבריין. במערכת המשפטית המודרנית, ההרחקה נעשית בדרך כלל על ידי כליאה, והתיקון והשיקום נעשים על ידי תשלום קנסות, ביצוע עבודות שירות ואמצעים אח</w:t>
      </w:r>
      <w:r w:rsidR="00180B22">
        <w:rPr>
          <w:rFonts w:hint="cs"/>
          <w:rtl/>
        </w:rPr>
        <w:t>רים. כמו כן, עבודה שיקומית מסוי</w:t>
      </w:r>
      <w:r>
        <w:rPr>
          <w:rFonts w:hint="cs"/>
          <w:rtl/>
        </w:rPr>
        <w:t>מת נעשית גם עם חלק מהאסירים.</w:t>
      </w:r>
    </w:p>
  </w:endnote>
  <w:endnote w:id="7">
    <w:p w:rsidR="00987E5E" w:rsidRDefault="00987E5E">
      <w:pPr>
        <w:pStyle w:val="ae"/>
        <w:rPr>
          <w:rtl/>
        </w:rPr>
      </w:pPr>
      <w:r>
        <w:rPr>
          <w:rStyle w:val="af0"/>
        </w:rPr>
        <w:endnoteRef/>
      </w:r>
      <w:r>
        <w:rPr>
          <w:rtl/>
        </w:rPr>
        <w:t xml:space="preserve"> </w:t>
      </w:r>
      <w:r w:rsidR="00180B22">
        <w:rPr>
          <w:rFonts w:hint="cs"/>
          <w:rtl/>
        </w:rPr>
        <w:t>משנה תורה, הלכות</w:t>
      </w:r>
      <w:r>
        <w:rPr>
          <w:rFonts w:hint="cs"/>
          <w:rtl/>
        </w:rPr>
        <w:t xml:space="preserve"> נזקי ממון, </w:t>
      </w:r>
      <w:r w:rsidR="00180B22">
        <w:rPr>
          <w:rFonts w:hint="cs"/>
          <w:rtl/>
        </w:rPr>
        <w:t xml:space="preserve">פרק </w:t>
      </w:r>
      <w:r>
        <w:rPr>
          <w:rFonts w:hint="cs"/>
          <w:rtl/>
        </w:rPr>
        <w:t>י,</w:t>
      </w:r>
      <w:r w:rsidR="00180B22">
        <w:rPr>
          <w:rFonts w:hint="cs"/>
          <w:rtl/>
        </w:rPr>
        <w:t xml:space="preserve"> הלכה </w:t>
      </w:r>
      <w:r>
        <w:rPr>
          <w:rFonts w:hint="cs"/>
          <w:rtl/>
        </w:rPr>
        <w:t xml:space="preserve">ז. </w:t>
      </w:r>
    </w:p>
  </w:endnote>
  <w:endnote w:id="8">
    <w:p w:rsidR="00987E5E" w:rsidRDefault="00987E5E" w:rsidP="00180B22">
      <w:pPr>
        <w:pStyle w:val="ae"/>
      </w:pPr>
      <w:r>
        <w:rPr>
          <w:rStyle w:val="af0"/>
        </w:rPr>
        <w:endnoteRef/>
      </w:r>
      <w:r>
        <w:rPr>
          <w:rtl/>
        </w:rPr>
        <w:t xml:space="preserve"> </w:t>
      </w:r>
      <w:r>
        <w:rPr>
          <w:rFonts w:hint="cs"/>
          <w:rtl/>
        </w:rPr>
        <w:t>עבודה זרה ח ע"ב; תוספתא</w:t>
      </w:r>
      <w:r w:rsidR="00987FDD">
        <w:rPr>
          <w:rFonts w:hint="cs"/>
          <w:rtl/>
        </w:rPr>
        <w:t xml:space="preserve"> (ליברמן),</w:t>
      </w:r>
      <w:r>
        <w:rPr>
          <w:rFonts w:hint="cs"/>
          <w:rtl/>
        </w:rPr>
        <w:t xml:space="preserve"> סוטה יד,</w:t>
      </w:r>
      <w:r w:rsidR="00987FDD">
        <w:rPr>
          <w:rFonts w:hint="cs"/>
          <w:rtl/>
        </w:rPr>
        <w:t xml:space="preserve"> </w:t>
      </w:r>
      <w:r>
        <w:rPr>
          <w:rFonts w:hint="cs"/>
          <w:rtl/>
        </w:rPr>
        <w:t xml:space="preserve">ב. הקישור שבין ריבוי העבירה לבין ביטול העונשים התפרש באופנים שונים על ידי הראשונים; אנו עקבנו כאן אחר הבנתו של בעל </w:t>
      </w:r>
      <w:r w:rsidR="00180B22">
        <w:rPr>
          <w:rFonts w:hint="cs"/>
          <w:rtl/>
        </w:rPr>
        <w:t>'</w:t>
      </w:r>
      <w:r>
        <w:rPr>
          <w:rFonts w:hint="cs"/>
          <w:rtl/>
        </w:rPr>
        <w:t>מנחת אשר</w:t>
      </w:r>
      <w:r w:rsidR="00180B22">
        <w:rPr>
          <w:rFonts w:hint="cs"/>
          <w:rtl/>
        </w:rPr>
        <w:t>'</w:t>
      </w:r>
      <w:r>
        <w:rPr>
          <w:rFonts w:hint="cs"/>
          <w:rtl/>
        </w:rPr>
        <w:t xml:space="preserve"> בשיטת הרשב"א: "</w:t>
      </w:r>
      <w:r w:rsidRPr="009F2722">
        <w:rPr>
          <w:rtl/>
        </w:rPr>
        <w:t>עונש מות תכליתה לא רק להעניש אלא בעיקר להר</w:t>
      </w:r>
      <w:r>
        <w:rPr>
          <w:rFonts w:hint="cs"/>
          <w:rtl/>
        </w:rPr>
        <w:t>ת</w:t>
      </w:r>
      <w:r w:rsidRPr="009F2722">
        <w:rPr>
          <w:rtl/>
        </w:rPr>
        <w:t>יע, למען ישמעו וייראו, וכמ"ש הרמב"ם במורה נבוכים (ח"ג פרק מ' – מ"א) וכיון דחזו בנפשייהו דנפישי רוצחים ולא נר</w:t>
      </w:r>
      <w:r>
        <w:rPr>
          <w:rFonts w:hint="cs"/>
          <w:rtl/>
        </w:rPr>
        <w:t>ת</w:t>
      </w:r>
      <w:r w:rsidRPr="009F2722">
        <w:rPr>
          <w:rtl/>
        </w:rPr>
        <w:t>עו מן העונש</w:t>
      </w:r>
      <w:r>
        <w:rPr>
          <w:rFonts w:hint="cs"/>
          <w:rtl/>
        </w:rPr>
        <w:t>,</w:t>
      </w:r>
      <w:r w:rsidRPr="009F2722">
        <w:rPr>
          <w:rtl/>
        </w:rPr>
        <w:t xml:space="preserve"> החליטו ברוח קדשם לגלות ממקומם כדי שלא לדון ד</w:t>
      </w:r>
      <w:r>
        <w:rPr>
          <w:rFonts w:hint="cs"/>
          <w:rtl/>
        </w:rPr>
        <w:t xml:space="preserve">יני </w:t>
      </w:r>
      <w:r w:rsidRPr="009F2722">
        <w:rPr>
          <w:rtl/>
        </w:rPr>
        <w:t>נ</w:t>
      </w:r>
      <w:r w:rsidR="00987FDD">
        <w:rPr>
          <w:rFonts w:hint="cs"/>
          <w:rtl/>
        </w:rPr>
        <w:t xml:space="preserve">פשות". ראו: הרב אשר </w:t>
      </w:r>
      <w:r>
        <w:rPr>
          <w:rFonts w:hint="cs"/>
          <w:rtl/>
        </w:rPr>
        <w:t>ו</w:t>
      </w:r>
      <w:r w:rsidR="00987FDD">
        <w:rPr>
          <w:rFonts w:hint="cs"/>
          <w:rtl/>
        </w:rPr>
        <w:t>י</w:t>
      </w:r>
      <w:r>
        <w:rPr>
          <w:rFonts w:hint="cs"/>
          <w:rtl/>
        </w:rPr>
        <w:t>יס, "</w:t>
      </w:r>
      <w:r w:rsidRPr="009F2722">
        <w:rPr>
          <w:rtl/>
        </w:rPr>
        <w:t>חנינת פושע מלשאת את עונשו מתוך חמלה על אחרים</w:t>
      </w:r>
      <w:r w:rsidR="00987FDD">
        <w:rPr>
          <w:rFonts w:hint="cs"/>
          <w:rtl/>
        </w:rPr>
        <w:t>"</w:t>
      </w:r>
      <w:r>
        <w:rPr>
          <w:rFonts w:hint="cs"/>
          <w:rtl/>
        </w:rPr>
        <w:t xml:space="preserve"> </w:t>
      </w:r>
      <w:r w:rsidR="00987FDD">
        <w:rPr>
          <w:rFonts w:hint="cs"/>
          <w:rtl/>
        </w:rPr>
        <w:t>(</w:t>
      </w:r>
      <w:r>
        <w:rPr>
          <w:rFonts w:hint="cs"/>
          <w:rtl/>
        </w:rPr>
        <w:t>זמין במרשתת</w:t>
      </w:r>
      <w:r w:rsidR="00180B22">
        <w:rPr>
          <w:rFonts w:hint="cs"/>
          <w:rtl/>
        </w:rPr>
        <w:t>)</w:t>
      </w:r>
      <w:r>
        <w:rPr>
          <w:rFonts w:hint="cs"/>
          <w:rtl/>
        </w:rPr>
        <w:t>.</w:t>
      </w:r>
    </w:p>
  </w:endnote>
  <w:endnote w:id="9">
    <w:p w:rsidR="00987E5E" w:rsidRDefault="00987E5E" w:rsidP="00124FD3">
      <w:pPr>
        <w:pStyle w:val="ae"/>
      </w:pPr>
      <w:r>
        <w:rPr>
          <w:rStyle w:val="af0"/>
        </w:rPr>
        <w:endnoteRef/>
      </w:r>
      <w:r>
        <w:rPr>
          <w:rtl/>
        </w:rPr>
        <w:t xml:space="preserve"> </w:t>
      </w:r>
      <w:r w:rsidR="00124FD3">
        <w:rPr>
          <w:rFonts w:hint="cs"/>
          <w:rtl/>
        </w:rPr>
        <w:t>ראו:</w:t>
      </w:r>
      <w:r>
        <w:rPr>
          <w:rFonts w:hint="cs"/>
          <w:rtl/>
        </w:rPr>
        <w:t xml:space="preserve"> רש"י</w:t>
      </w:r>
      <w:r w:rsidR="00124FD3">
        <w:rPr>
          <w:rFonts w:hint="cs"/>
          <w:rtl/>
        </w:rPr>
        <w:t xml:space="preserve">, </w:t>
      </w:r>
      <w:r>
        <w:rPr>
          <w:rFonts w:hint="cs"/>
          <w:rtl/>
        </w:rPr>
        <w:t>עבודה זרה</w:t>
      </w:r>
      <w:r w:rsidR="00124FD3">
        <w:rPr>
          <w:rFonts w:hint="cs"/>
          <w:rtl/>
        </w:rPr>
        <w:t>,</w:t>
      </w:r>
      <w:r>
        <w:rPr>
          <w:rFonts w:hint="cs"/>
          <w:rtl/>
        </w:rPr>
        <w:t xml:space="preserve"> שם; וכן </w:t>
      </w:r>
      <w:r w:rsidR="00124FD3">
        <w:rPr>
          <w:rFonts w:hint="cs"/>
          <w:rtl/>
        </w:rPr>
        <w:t>עקידת יצחק, שער ל</w:t>
      </w:r>
      <w:r>
        <w:rPr>
          <w:rFonts w:hint="cs"/>
          <w:rtl/>
        </w:rPr>
        <w:t>: "</w:t>
      </w:r>
      <w:r w:rsidRPr="005631A1">
        <w:rPr>
          <w:rtl/>
        </w:rPr>
        <w:t>שכבר ימנעו מהעניש את החייב אם יסובב מענשו נזק גדול והפסד עצום לאחרים רבים ונכבדים אשר לא חטאו. כמו אם החוטא היה חכם מופלג גבור או רופא מובהק ומהעדרו תקבל המדינה נזקים גדולים כי לא ימצאו תמורתו</w:t>
      </w:r>
      <w:r>
        <w:rPr>
          <w:rFonts w:hint="cs"/>
          <w:rtl/>
        </w:rPr>
        <w:t>".</w:t>
      </w:r>
    </w:p>
  </w:endnote>
  <w:endnote w:id="10">
    <w:p w:rsidR="00987E5E" w:rsidRDefault="00987E5E" w:rsidP="00124FD3">
      <w:pPr>
        <w:pStyle w:val="ae"/>
      </w:pPr>
      <w:r>
        <w:rPr>
          <w:rStyle w:val="af0"/>
        </w:rPr>
        <w:endnoteRef/>
      </w:r>
      <w:r>
        <w:rPr>
          <w:rtl/>
        </w:rPr>
        <w:t xml:space="preserve"> </w:t>
      </w:r>
      <w:r>
        <w:rPr>
          <w:rFonts w:hint="cs"/>
          <w:rtl/>
        </w:rPr>
        <w:t xml:space="preserve">מאלפים </w:t>
      </w:r>
      <w:r w:rsidR="00124FD3">
        <w:rPr>
          <w:rFonts w:hint="cs"/>
          <w:rtl/>
        </w:rPr>
        <w:t xml:space="preserve">הם </w:t>
      </w:r>
      <w:r>
        <w:rPr>
          <w:rFonts w:hint="cs"/>
          <w:rtl/>
        </w:rPr>
        <w:t>דברי הרמב"ם</w:t>
      </w:r>
      <w:r w:rsidR="00124FD3">
        <w:rPr>
          <w:rFonts w:hint="cs"/>
          <w:rtl/>
        </w:rPr>
        <w:t xml:space="preserve"> בהקשר זה</w:t>
      </w:r>
      <w:r>
        <w:rPr>
          <w:rFonts w:hint="cs"/>
          <w:rtl/>
        </w:rPr>
        <w:t>: "</w:t>
      </w:r>
      <w:r w:rsidRPr="003C7EC7">
        <w:rPr>
          <w:rtl/>
        </w:rPr>
        <w:t xml:space="preserve">אסור לבית דין לחוס על ההורג שלא יאמרו כבר נהרג זה ומה תועלת יש בהריגת האחר ונמצאו מתרשלין בהריגתו, שנאמר </w:t>
      </w:r>
      <w:r w:rsidR="00124FD3">
        <w:rPr>
          <w:rFonts w:hint="cs"/>
          <w:rtl/>
        </w:rPr>
        <w:t>'</w:t>
      </w:r>
      <w:r w:rsidRPr="003C7EC7">
        <w:rPr>
          <w:rtl/>
        </w:rPr>
        <w:t>ולא תחוס עינך ובערת דם הנקי</w:t>
      </w:r>
      <w:r w:rsidR="00124FD3">
        <w:rPr>
          <w:rFonts w:hint="cs"/>
          <w:rtl/>
        </w:rPr>
        <w:t>'</w:t>
      </w:r>
      <w:r w:rsidRPr="003C7EC7">
        <w:rPr>
          <w:rtl/>
        </w:rPr>
        <w:t xml:space="preserve">, וכן אסור לבית דין לחוס על מי שנתחייב קנס שלא יאמרו עני הוא זה שלא בכוונה עשה אלא מגבין ממנו כל שיש לו בלא חנינה שנאמר </w:t>
      </w:r>
      <w:r w:rsidR="00124FD3">
        <w:rPr>
          <w:rFonts w:hint="cs"/>
          <w:rtl/>
        </w:rPr>
        <w:t>'</w:t>
      </w:r>
      <w:r w:rsidRPr="003C7EC7">
        <w:rPr>
          <w:rtl/>
        </w:rPr>
        <w:t>ולא תחוס עינך</w:t>
      </w:r>
      <w:r w:rsidR="00124FD3">
        <w:rPr>
          <w:rFonts w:hint="cs"/>
          <w:rtl/>
        </w:rPr>
        <w:t>'</w:t>
      </w:r>
      <w:r>
        <w:rPr>
          <w:rFonts w:hint="cs"/>
          <w:rtl/>
        </w:rPr>
        <w:t>"</w:t>
      </w:r>
      <w:r w:rsidR="00124FD3">
        <w:rPr>
          <w:rFonts w:hint="cs"/>
          <w:rtl/>
        </w:rPr>
        <w:t xml:space="preserve"> (משנה תורה, סנהדרין, פרק כ, הלכה ד)</w:t>
      </w:r>
      <w:r>
        <w:rPr>
          <w:rFonts w:hint="cs"/>
          <w:rtl/>
        </w:rPr>
        <w:t>.</w:t>
      </w:r>
    </w:p>
  </w:endnote>
  <w:endnote w:id="11">
    <w:p w:rsidR="00987E5E" w:rsidRDefault="00987E5E">
      <w:pPr>
        <w:pStyle w:val="ae"/>
      </w:pPr>
      <w:r>
        <w:rPr>
          <w:rStyle w:val="af0"/>
        </w:rPr>
        <w:endnoteRef/>
      </w:r>
      <w:r>
        <w:rPr>
          <w:rtl/>
        </w:rPr>
        <w:t xml:space="preserve"> </w:t>
      </w:r>
      <w:r>
        <w:rPr>
          <w:rFonts w:hint="cs"/>
          <w:rtl/>
        </w:rPr>
        <w:t>מורה נבוכים, חלק ג</w:t>
      </w:r>
      <w:r w:rsidR="00124FD3">
        <w:rPr>
          <w:rFonts w:hint="cs"/>
          <w:rtl/>
        </w:rPr>
        <w:t>,</w:t>
      </w:r>
      <w:r>
        <w:rPr>
          <w:rFonts w:hint="cs"/>
          <w:rtl/>
        </w:rPr>
        <w:t xml:space="preserve"> פרק לה, בתרגומו של הרב קאפח.</w:t>
      </w:r>
    </w:p>
  </w:endnote>
  <w:endnote w:id="12">
    <w:p w:rsidR="00647E10" w:rsidRDefault="00647E10" w:rsidP="00BD003D">
      <w:pPr>
        <w:pStyle w:val="ae"/>
      </w:pPr>
      <w:r>
        <w:rPr>
          <w:rStyle w:val="af0"/>
        </w:rPr>
        <w:endnoteRef/>
      </w:r>
      <w:r>
        <w:rPr>
          <w:rtl/>
        </w:rPr>
        <w:t xml:space="preserve"> </w:t>
      </w:r>
      <w:r>
        <w:rPr>
          <w:rFonts w:hint="cs"/>
          <w:rtl/>
        </w:rPr>
        <w:t xml:space="preserve">בבא מציעא לא </w:t>
      </w:r>
      <w:r w:rsidR="00BD003D">
        <w:rPr>
          <w:rFonts w:hint="cs"/>
          <w:rtl/>
        </w:rPr>
        <w:t xml:space="preserve">ע"ב. נושא זה נידון במספר מאמרים; ראו לדוגמה במאמרו של רפאל </w:t>
      </w:r>
      <w:r>
        <w:rPr>
          <w:rFonts w:hint="cs"/>
          <w:rtl/>
        </w:rPr>
        <w:t xml:space="preserve">יעקובי, "האמנם אין מרחמין בדין", </w:t>
      </w:r>
      <w:r w:rsidRPr="00647E10">
        <w:rPr>
          <w:rtl/>
        </w:rPr>
        <w:t xml:space="preserve">פרשת השבוע, גיליון </w:t>
      </w:r>
      <w:r w:rsidR="00BD003D">
        <w:rPr>
          <w:rFonts w:hint="cs"/>
          <w:rtl/>
        </w:rPr>
        <w:t>460 (</w:t>
      </w:r>
      <w:r w:rsidR="00BD003D">
        <w:rPr>
          <w:rFonts w:hint="cs"/>
          <w:rtl/>
        </w:rPr>
        <w:t>קד</w:t>
      </w:r>
      <w:r w:rsidR="00BD003D">
        <w:rPr>
          <w:rFonts w:hint="cs"/>
          <w:rtl/>
        </w:rPr>
        <w:t>ו</w:t>
      </w:r>
      <w:r w:rsidR="00BD003D">
        <w:rPr>
          <w:rFonts w:hint="cs"/>
          <w:rtl/>
        </w:rPr>
        <w:t>שים</w:t>
      </w:r>
      <w:r w:rsidR="00BD003D" w:rsidRPr="00647E10">
        <w:rPr>
          <w:rtl/>
        </w:rPr>
        <w:t xml:space="preserve"> תש</w:t>
      </w:r>
      <w:r w:rsidR="00BD003D">
        <w:rPr>
          <w:rFonts w:hint="cs"/>
          <w:rtl/>
        </w:rPr>
        <w:t>ע</w:t>
      </w:r>
      <w:r w:rsidR="00BD003D" w:rsidRPr="00647E10">
        <w:rPr>
          <w:rtl/>
        </w:rPr>
        <w:t>"</w:t>
      </w:r>
      <w:r w:rsidR="00BD003D">
        <w:rPr>
          <w:rFonts w:hint="cs"/>
          <w:rtl/>
        </w:rPr>
        <w:t>ו</w:t>
      </w:r>
      <w:r w:rsidR="00BD003D">
        <w:rPr>
          <w:rFonts w:hint="cs"/>
          <w:rtl/>
        </w:rPr>
        <w:t xml:space="preserve">). זמין במרשתת. </w:t>
      </w:r>
      <w:bookmarkStart w:id="0" w:name="_GoBack"/>
      <w:bookmarkEnd w:id="0"/>
    </w:p>
  </w:endnote>
  <w:endnote w:id="13">
    <w:p w:rsidR="00647E10" w:rsidRDefault="00647E10" w:rsidP="00A025E7">
      <w:pPr>
        <w:pStyle w:val="ae"/>
        <w:rPr>
          <w:rtl/>
        </w:rPr>
      </w:pPr>
      <w:r>
        <w:rPr>
          <w:rStyle w:val="af0"/>
        </w:rPr>
        <w:endnoteRef/>
      </w:r>
      <w:r>
        <w:rPr>
          <w:rtl/>
        </w:rPr>
        <w:t xml:space="preserve"> </w:t>
      </w:r>
      <w:r w:rsidRPr="00647E10">
        <w:rPr>
          <w:rtl/>
        </w:rPr>
        <w:t xml:space="preserve">איגרת </w:t>
      </w:r>
      <w:r>
        <w:rPr>
          <w:rFonts w:hint="cs"/>
          <w:rtl/>
        </w:rPr>
        <w:t xml:space="preserve">לסופר אז"ר, </w:t>
      </w:r>
      <w:r w:rsidRPr="00647E10">
        <w:rPr>
          <w:rtl/>
        </w:rPr>
        <w:t>פורסמה בספר הז</w:t>
      </w:r>
      <w:r w:rsidR="00A025E7">
        <w:rPr>
          <w:rFonts w:hint="cs"/>
          <w:rtl/>
        </w:rPr>
        <w:t>י</w:t>
      </w:r>
      <w:r w:rsidRPr="00647E10">
        <w:rPr>
          <w:rtl/>
        </w:rPr>
        <w:t>כרון לאברהם שפיגלמן</w:t>
      </w:r>
      <w:r>
        <w:rPr>
          <w:rFonts w:hint="cs"/>
          <w:rtl/>
        </w:rPr>
        <w:t>,</w:t>
      </w:r>
      <w:r w:rsidRPr="00647E10">
        <w:rPr>
          <w:rtl/>
        </w:rPr>
        <w:t xml:space="preserve"> ירושלים תשל"ט</w:t>
      </w:r>
      <w:r>
        <w:rPr>
          <w:rFonts w:hint="cs"/>
          <w:rtl/>
        </w:rPr>
        <w:t>,</w:t>
      </w:r>
      <w:r w:rsidRPr="00647E10">
        <w:rPr>
          <w:rtl/>
        </w:rPr>
        <w:t xml:space="preserve"> עמ' 67</w:t>
      </w:r>
      <w:r>
        <w:rPr>
          <w:rFonts w:hint="cs"/>
          <w:rtl/>
        </w:rPr>
        <w:t xml:space="preserve"> ואילך</w:t>
      </w:r>
      <w:r w:rsidRPr="00647E10">
        <w:rPr>
          <w:rtl/>
        </w:rPr>
        <w:t>.</w:t>
      </w:r>
    </w:p>
  </w:endnote>
  <w:endnote w:id="14">
    <w:p w:rsidR="00A025E7" w:rsidRDefault="00A025E7">
      <w:pPr>
        <w:pStyle w:val="ae"/>
        <w:rPr>
          <w:rFonts w:hint="cs"/>
        </w:rPr>
      </w:pPr>
      <w:r>
        <w:rPr>
          <w:rStyle w:val="af0"/>
        </w:rPr>
        <w:endnoteRef/>
      </w:r>
      <w:r>
        <w:rPr>
          <w:rtl/>
        </w:rPr>
        <w:t xml:space="preserve"> </w:t>
      </w:r>
      <w:r>
        <w:rPr>
          <w:rFonts w:hint="cs"/>
          <w:rtl/>
        </w:rPr>
        <w:t>שם.</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5E" w:rsidRDefault="00987E5E"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14:anchorId="35004FC9" wp14:editId="6801A736">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912B1AA"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bCs/>
        <w:color w:val="365F91"/>
        <w:spacing w:val="-10"/>
        <w:rtl/>
      </w:rPr>
      <w:t xml:space="preserve">         -----</w:t>
    </w:r>
  </w:p>
  <w:p w:rsidR="00987E5E" w:rsidRPr="00E55679" w:rsidRDefault="00987E5E" w:rsidP="00B57B41">
    <w:pPr>
      <w:pStyle w:val="1"/>
      <w:jc w:val="center"/>
      <w:rPr>
        <w:rFonts w:cs="Guttman Keren"/>
        <w:color w:val="365F91"/>
        <w:spacing w:val="-10"/>
        <w:rtl/>
      </w:rPr>
    </w:pPr>
    <w:r w:rsidRPr="00E55679">
      <w:rPr>
        <w:rFonts w:cs="Guttman Keren"/>
        <w:b/>
        <w:bCs/>
        <w:color w:val="365F91"/>
        <w:spacing w:val="-10"/>
        <w:rtl/>
      </w:rPr>
      <w:t>משרדי צהר</w:t>
    </w:r>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rsidR="00987E5E" w:rsidRPr="00E55679" w:rsidRDefault="003D3BB3" w:rsidP="00B57B41">
    <w:pPr>
      <w:jc w:val="center"/>
      <w:rPr>
        <w:rFonts w:cs="Guttman Keren"/>
        <w:b/>
        <w:bCs/>
        <w:color w:val="365F91"/>
        <w:spacing w:val="8"/>
        <w:sz w:val="24"/>
        <w:szCs w:val="24"/>
        <w:rtl/>
      </w:rPr>
    </w:pPr>
    <w:hyperlink r:id="rId1" w:history="1">
      <w:r w:rsidR="00987E5E" w:rsidRPr="00175902">
        <w:rPr>
          <w:b/>
          <w:bCs/>
          <w:color w:val="365F91"/>
          <w:spacing w:val="-10"/>
          <w:sz w:val="26"/>
          <w:szCs w:val="26"/>
        </w:rPr>
        <w:t>www.tzohar.org.il</w:t>
      </w:r>
    </w:hyperlink>
    <w:r w:rsidR="00987E5E" w:rsidRPr="00175902">
      <w:rPr>
        <w:rFonts w:cs="Guttman Keren"/>
        <w:b/>
        <w:bCs/>
        <w:color w:val="365F91"/>
        <w:spacing w:val="8"/>
        <w:sz w:val="30"/>
        <w:szCs w:val="30"/>
        <w:rtl/>
      </w:rPr>
      <w:t xml:space="preserve"> </w:t>
    </w:r>
    <w:r w:rsidR="00987E5E" w:rsidRPr="00175902">
      <w:rPr>
        <w:rFonts w:cs="Guttman Keren"/>
        <w:b/>
        <w:bCs/>
        <w:color w:val="365F91"/>
        <w:spacing w:val="8"/>
        <w:sz w:val="24"/>
        <w:szCs w:val="24"/>
        <w:rtl/>
      </w:rPr>
      <w:t xml:space="preserve">     </w:t>
    </w:r>
    <w:r w:rsidR="00987E5E" w:rsidRPr="00E55679">
      <w:rPr>
        <w:rFonts w:cs="Guttman Keren"/>
        <w:b/>
        <w:bCs/>
        <w:color w:val="365F91"/>
        <w:spacing w:val="8"/>
        <w:sz w:val="24"/>
        <w:szCs w:val="24"/>
        <w:rtl/>
      </w:rPr>
      <w:t xml:space="preserve">צהר </w:t>
    </w:r>
    <w:r w:rsidR="00987E5E">
      <w:rPr>
        <w:rFonts w:cs="Guttman Keren"/>
        <w:b/>
        <w:bCs/>
        <w:color w:val="365F91"/>
        <w:spacing w:val="8"/>
        <w:sz w:val="24"/>
        <w:szCs w:val="24"/>
        <w:rtl/>
      </w:rPr>
      <w:t>לחקיקה</w:t>
    </w:r>
    <w:r w:rsidR="00987E5E" w:rsidRPr="00E55679">
      <w:rPr>
        <w:rFonts w:cs="Guttman Keren"/>
        <w:b/>
        <w:bCs/>
        <w:color w:val="365F91"/>
        <w:spacing w:val="8"/>
        <w:sz w:val="24"/>
        <w:szCs w:val="24"/>
        <w:rtl/>
      </w:rPr>
      <w:t xml:space="preserve">: </w:t>
    </w:r>
    <w:r w:rsidR="00987E5E">
      <w:rPr>
        <w:rFonts w:cs="Guttman Keren"/>
        <w:b/>
        <w:bCs/>
        <w:color w:val="365F91"/>
        <w:spacing w:val="8"/>
        <w:sz w:val="24"/>
        <w:szCs w:val="24"/>
      </w:rPr>
      <w:t>Ganzel</w:t>
    </w:r>
    <w:r w:rsidR="00987E5E" w:rsidRPr="00E55679">
      <w:rPr>
        <w:rFonts w:cs="Guttman Keren"/>
        <w:b/>
        <w:bCs/>
        <w:color w:val="365F91"/>
        <w:spacing w:val="8"/>
        <w:sz w:val="24"/>
        <w:szCs w:val="24"/>
      </w:rPr>
      <w:t>@tzohar.org.il</w:t>
    </w:r>
  </w:p>
  <w:p w:rsidR="00987E5E" w:rsidRPr="00E55679" w:rsidRDefault="00987E5E">
    <w:pPr>
      <w:pStyle w:val="a5"/>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B3" w:rsidRDefault="003D3BB3">
      <w:r>
        <w:separator/>
      </w:r>
    </w:p>
  </w:footnote>
  <w:footnote w:type="continuationSeparator" w:id="0">
    <w:p w:rsidR="003D3BB3" w:rsidRDefault="003D3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5E" w:rsidRDefault="00987E5E">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rsidR="00987E5E" w:rsidRDefault="00987E5E">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5E" w:rsidRPr="00A81E14" w:rsidRDefault="00987E5E" w:rsidP="00A81E14">
    <w:pPr>
      <w:pStyle w:val="a3"/>
      <w:ind w:right="360"/>
      <w:rPr>
        <w:rFonts w:cs="Guttman Keren"/>
        <w:b/>
        <w:bCs/>
        <w:color w:val="365F91"/>
        <w:sz w:val="34"/>
        <w:szCs w:val="34"/>
        <w:rtl/>
      </w:rPr>
    </w:pPr>
    <w:r>
      <w:rPr>
        <w:noProof/>
        <w:rtl/>
      </w:rPr>
      <mc:AlternateContent>
        <mc:Choice Requires="wps">
          <w:drawing>
            <wp:anchor distT="0" distB="0" distL="114300" distR="114300" simplePos="0" relativeHeight="251655680" behindDoc="1" locked="0" layoutInCell="0" allowOverlap="1" wp14:anchorId="534269DC" wp14:editId="35E3F184">
              <wp:simplePos x="0" y="0"/>
              <wp:positionH relativeFrom="page">
                <wp:posOffset>387350</wp:posOffset>
              </wp:positionH>
              <wp:positionV relativeFrom="paragraph">
                <wp:posOffset>-19685</wp:posOffset>
              </wp:positionV>
              <wp:extent cx="5852160" cy="533400"/>
              <wp:effectExtent l="0" t="0" r="0" b="0"/>
              <wp:wrapThrough wrapText="bothSides">
                <wp:wrapPolygon edited="0">
                  <wp:start x="0" y="0"/>
                  <wp:lineTo x="0" y="20829"/>
                  <wp:lineTo x="21516" y="20829"/>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E5E" w:rsidRDefault="00987E5E" w:rsidP="00A81E14">
                          <w:pPr>
                            <w:pStyle w:val="a3"/>
                            <w:ind w:right="360"/>
                            <w:rPr>
                              <w:rFonts w:cs="Guttman Keren"/>
                              <w:b/>
                              <w:bCs/>
                              <w:color w:val="365F91"/>
                              <w:sz w:val="34"/>
                              <w:szCs w:val="34"/>
                              <w:rtl/>
                            </w:rPr>
                          </w:pPr>
                          <w:r>
                            <w:rPr>
                              <w:rFonts w:cs="Guttman Keren" w:hint="cs"/>
                              <w:b/>
                              <w:bCs/>
                              <w:color w:val="365F91"/>
                              <w:sz w:val="34"/>
                              <w:szCs w:val="34"/>
                              <w:rtl/>
                            </w:rPr>
                            <w:t>צ</w:t>
                          </w:r>
                          <w:r w:rsidRPr="00E55679">
                            <w:rPr>
                              <w:rFonts w:cs="Guttman Keren"/>
                              <w:b/>
                              <w:bCs/>
                              <w:color w:val="365F91"/>
                              <w:sz w:val="34"/>
                              <w:szCs w:val="34"/>
                              <w:rtl/>
                            </w:rPr>
                            <w:t xml:space="preserve">הר </w:t>
                          </w:r>
                          <w:r>
                            <w:rPr>
                              <w:rFonts w:cs="Guttman Keren"/>
                              <w:b/>
                              <w:bCs/>
                              <w:color w:val="365F91"/>
                              <w:sz w:val="34"/>
                              <w:szCs w:val="34"/>
                              <w:rtl/>
                            </w:rPr>
                            <w:t>לחקיקה</w:t>
                          </w:r>
                        </w:p>
                        <w:p w:rsidR="00987E5E" w:rsidRPr="00E55679" w:rsidRDefault="00987E5E"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987E5E" w:rsidRDefault="00987E5E"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269DC" id="_x0000_t202" coordsize="21600,21600" o:spt="202" path="m,l,21600r21600,l21600,xe">
              <v:stroke joinstyle="miter"/>
              <v:path gradientshapeok="t" o:connecttype="rect"/>
            </v:shapetype>
            <v:shape id="Text Box 2" o:spid="_x0000_s1026" type="#_x0000_t202" style="position:absolute;left:0;text-align:left;margin-left:30.5pt;margin-top:-1.55pt;width:460.8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Nq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CwXZZ7NwUTBVp6fF2m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" o:allowincell="f" stroked="f">
              <v:textbox>
                <w:txbxContent>
                  <w:p w:rsidR="00987E5E" w:rsidRDefault="00987E5E" w:rsidP="00A81E14">
                    <w:pPr>
                      <w:pStyle w:val="a3"/>
                      <w:ind w:right="360"/>
                      <w:rPr>
                        <w:rFonts w:cs="Guttman Keren"/>
                        <w:b/>
                        <w:bCs/>
                        <w:color w:val="365F91"/>
                        <w:sz w:val="34"/>
                        <w:szCs w:val="34"/>
                        <w:rtl/>
                      </w:rPr>
                    </w:pPr>
                    <w:r>
                      <w:rPr>
                        <w:rFonts w:cs="Guttman Keren" w:hint="cs"/>
                        <w:b/>
                        <w:bCs/>
                        <w:color w:val="365F91"/>
                        <w:sz w:val="34"/>
                        <w:szCs w:val="34"/>
                        <w:rtl/>
                      </w:rPr>
                      <w:t>צ</w:t>
                    </w:r>
                    <w:r w:rsidRPr="00E55679">
                      <w:rPr>
                        <w:rFonts w:cs="Guttman Keren"/>
                        <w:b/>
                        <w:bCs/>
                        <w:color w:val="365F91"/>
                        <w:sz w:val="34"/>
                        <w:szCs w:val="34"/>
                        <w:rtl/>
                      </w:rPr>
                      <w:t xml:space="preserve">הר </w:t>
                    </w:r>
                    <w:r>
                      <w:rPr>
                        <w:rFonts w:cs="Guttman Keren"/>
                        <w:b/>
                        <w:bCs/>
                        <w:color w:val="365F91"/>
                        <w:sz w:val="34"/>
                        <w:szCs w:val="34"/>
                        <w:rtl/>
                      </w:rPr>
                      <w:t>לחקיקה</w:t>
                    </w:r>
                  </w:p>
                  <w:p w:rsidR="00987E5E" w:rsidRPr="00E55679" w:rsidRDefault="00987E5E"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987E5E" w:rsidRDefault="00987E5E" w:rsidP="00744206">
                    <w:pPr>
                      <w:pStyle w:val="1"/>
                      <w:spacing w:after="120"/>
                      <w:jc w:val="left"/>
                      <w:rPr>
                        <w:rFonts w:cs="David"/>
                        <w:spacing w:val="-10"/>
                        <w:rtl/>
                      </w:rPr>
                    </w:pPr>
                  </w:p>
                </w:txbxContent>
              </v:textbox>
              <w10:wrap type="through" anchorx="page"/>
            </v:shape>
          </w:pict>
        </mc:Fallback>
      </mc:AlternateContent>
    </w:r>
    <w:r>
      <w:rPr>
        <w:noProof/>
        <w:rtl/>
      </w:rPr>
      <mc:AlternateContent>
        <mc:Choice Requires="wps">
          <w:drawing>
            <wp:anchor distT="4294967295" distB="4294967295" distL="114300" distR="114300" simplePos="0" relativeHeight="251657728" behindDoc="0" locked="0" layoutInCell="1" allowOverlap="1" wp14:anchorId="04B53192" wp14:editId="363B4EA2">
              <wp:simplePos x="0" y="0"/>
              <wp:positionH relativeFrom="margin">
                <wp:posOffset>-6350</wp:posOffset>
              </wp:positionH>
              <wp:positionV relativeFrom="margin">
                <wp:posOffset>-267335</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32EE407" id="_x0000_t32" coordsize="21600,21600" o:spt="32" o:oned="t" path="m,l21600,21600e" filled="f">
              <v:path arrowok="t" fillok="f" o:connecttype="none"/>
              <o:lock v:ext="edit" shapetype="t"/>
            </v:shapetype>
            <v:shape id="AutoShape 6" o:spid="_x0000_s1026" type="#_x0000_t32" style="position:absolute;left:0;text-align:left;margin-left:-.5pt;margin-top:-21.0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" strokecolor="#0070c0" strokeweight="3pt">
              <v:shadow color="#243f60" opacity=".5" offset="1pt"/>
              <w10:wrap type="square" anchorx="margin" anchory="margin"/>
            </v:shape>
          </w:pict>
        </mc:Fallback>
      </mc:AlternateContent>
    </w:r>
    <w:r>
      <w:rPr>
        <w:noProof/>
        <w:rtl/>
      </w:rPr>
      <w:drawing>
        <wp:anchor distT="0" distB="0" distL="114300" distR="114300" simplePos="0" relativeHeight="251659776" behindDoc="0" locked="0" layoutInCell="1" allowOverlap="1" wp14:anchorId="1C447738" wp14:editId="099E5512">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14:anchorId="1A325015" wp14:editId="1737067B">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E5E"/>
    <w:multiLevelType w:val="hybridMultilevel"/>
    <w:tmpl w:val="CDDE7D58"/>
    <w:lvl w:ilvl="0" w:tplc="30E63542">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5">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4"/>
  </w:num>
  <w:num w:numId="31">
    <w:abstractNumId w:val="31"/>
  </w:num>
  <w:num w:numId="32">
    <w:abstractNumId w:val="0"/>
  </w:num>
  <w:num w:numId="33">
    <w:abstractNumId w:val="6"/>
  </w:num>
  <w:num w:numId="34">
    <w:abstractNumId w:val="26"/>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D5"/>
    <w:rsid w:val="0000267A"/>
    <w:rsid w:val="0001496B"/>
    <w:rsid w:val="00022AF4"/>
    <w:rsid w:val="00026EF5"/>
    <w:rsid w:val="00027EB6"/>
    <w:rsid w:val="00036B4D"/>
    <w:rsid w:val="0004416B"/>
    <w:rsid w:val="0005412E"/>
    <w:rsid w:val="00061F94"/>
    <w:rsid w:val="000756B2"/>
    <w:rsid w:val="00075E20"/>
    <w:rsid w:val="00080161"/>
    <w:rsid w:val="0008360E"/>
    <w:rsid w:val="0008394C"/>
    <w:rsid w:val="000903A3"/>
    <w:rsid w:val="000A33E2"/>
    <w:rsid w:val="000A5B85"/>
    <w:rsid w:val="000A70BC"/>
    <w:rsid w:val="000B09CD"/>
    <w:rsid w:val="000B1A94"/>
    <w:rsid w:val="000B2497"/>
    <w:rsid w:val="000B56C3"/>
    <w:rsid w:val="000B6603"/>
    <w:rsid w:val="000B67D8"/>
    <w:rsid w:val="000C01E5"/>
    <w:rsid w:val="000C3071"/>
    <w:rsid w:val="000C6ED2"/>
    <w:rsid w:val="000D11F4"/>
    <w:rsid w:val="000D4D3E"/>
    <w:rsid w:val="000D7412"/>
    <w:rsid w:val="000E3627"/>
    <w:rsid w:val="000F49A5"/>
    <w:rsid w:val="000F6F50"/>
    <w:rsid w:val="001000BC"/>
    <w:rsid w:val="00107B9B"/>
    <w:rsid w:val="00110009"/>
    <w:rsid w:val="00114F54"/>
    <w:rsid w:val="001236B6"/>
    <w:rsid w:val="00124FD3"/>
    <w:rsid w:val="00126278"/>
    <w:rsid w:val="00126F03"/>
    <w:rsid w:val="001273D3"/>
    <w:rsid w:val="00137408"/>
    <w:rsid w:val="00142BFA"/>
    <w:rsid w:val="001525AD"/>
    <w:rsid w:val="00160D00"/>
    <w:rsid w:val="0017536C"/>
    <w:rsid w:val="00175902"/>
    <w:rsid w:val="00176A7E"/>
    <w:rsid w:val="00180B22"/>
    <w:rsid w:val="00182988"/>
    <w:rsid w:val="00192176"/>
    <w:rsid w:val="001A676B"/>
    <w:rsid w:val="001A7452"/>
    <w:rsid w:val="001A7990"/>
    <w:rsid w:val="001B3667"/>
    <w:rsid w:val="001B7AA5"/>
    <w:rsid w:val="001C5B8B"/>
    <w:rsid w:val="001D1B5D"/>
    <w:rsid w:val="001D600E"/>
    <w:rsid w:val="001D7540"/>
    <w:rsid w:val="001E6265"/>
    <w:rsid w:val="001F04B0"/>
    <w:rsid w:val="001F0D84"/>
    <w:rsid w:val="001F6B2B"/>
    <w:rsid w:val="00202C6F"/>
    <w:rsid w:val="002108CF"/>
    <w:rsid w:val="00210E16"/>
    <w:rsid w:val="00213587"/>
    <w:rsid w:val="0021631E"/>
    <w:rsid w:val="002303E5"/>
    <w:rsid w:val="002478E6"/>
    <w:rsid w:val="002511DB"/>
    <w:rsid w:val="002527C1"/>
    <w:rsid w:val="00255ABB"/>
    <w:rsid w:val="002613EA"/>
    <w:rsid w:val="00261C1D"/>
    <w:rsid w:val="002640BB"/>
    <w:rsid w:val="002653DB"/>
    <w:rsid w:val="002678C3"/>
    <w:rsid w:val="00277085"/>
    <w:rsid w:val="00287788"/>
    <w:rsid w:val="002937D8"/>
    <w:rsid w:val="00297A32"/>
    <w:rsid w:val="002A2B81"/>
    <w:rsid w:val="002A424E"/>
    <w:rsid w:val="002A474B"/>
    <w:rsid w:val="002B5E65"/>
    <w:rsid w:val="002B6C2B"/>
    <w:rsid w:val="002C12D4"/>
    <w:rsid w:val="002C327E"/>
    <w:rsid w:val="002D3E09"/>
    <w:rsid w:val="002D6419"/>
    <w:rsid w:val="002D765B"/>
    <w:rsid w:val="002E4828"/>
    <w:rsid w:val="002E5D8D"/>
    <w:rsid w:val="002E7FC6"/>
    <w:rsid w:val="002F07B6"/>
    <w:rsid w:val="002F5045"/>
    <w:rsid w:val="003007EC"/>
    <w:rsid w:val="003021AE"/>
    <w:rsid w:val="003025B7"/>
    <w:rsid w:val="00311696"/>
    <w:rsid w:val="00311A6B"/>
    <w:rsid w:val="00313F97"/>
    <w:rsid w:val="0031432E"/>
    <w:rsid w:val="003164C2"/>
    <w:rsid w:val="003302BF"/>
    <w:rsid w:val="00331DEB"/>
    <w:rsid w:val="003322BC"/>
    <w:rsid w:val="00340A80"/>
    <w:rsid w:val="003426C4"/>
    <w:rsid w:val="00344A46"/>
    <w:rsid w:val="0035060B"/>
    <w:rsid w:val="00351DDF"/>
    <w:rsid w:val="0035406E"/>
    <w:rsid w:val="00354D01"/>
    <w:rsid w:val="00356886"/>
    <w:rsid w:val="00363E32"/>
    <w:rsid w:val="0036732B"/>
    <w:rsid w:val="00367D14"/>
    <w:rsid w:val="00375703"/>
    <w:rsid w:val="00383943"/>
    <w:rsid w:val="00391376"/>
    <w:rsid w:val="0039560E"/>
    <w:rsid w:val="00396A89"/>
    <w:rsid w:val="003A09B1"/>
    <w:rsid w:val="003A2265"/>
    <w:rsid w:val="003A2B09"/>
    <w:rsid w:val="003B339E"/>
    <w:rsid w:val="003C0419"/>
    <w:rsid w:val="003C0FB5"/>
    <w:rsid w:val="003C121A"/>
    <w:rsid w:val="003C3363"/>
    <w:rsid w:val="003C7EC7"/>
    <w:rsid w:val="003D30AA"/>
    <w:rsid w:val="003D3BB3"/>
    <w:rsid w:val="003E28E3"/>
    <w:rsid w:val="003E2EBE"/>
    <w:rsid w:val="003E4627"/>
    <w:rsid w:val="003F10E8"/>
    <w:rsid w:val="003F6BE1"/>
    <w:rsid w:val="004028A1"/>
    <w:rsid w:val="0041121B"/>
    <w:rsid w:val="0041595D"/>
    <w:rsid w:val="0041684D"/>
    <w:rsid w:val="00422A8B"/>
    <w:rsid w:val="00430BFE"/>
    <w:rsid w:val="00444ED5"/>
    <w:rsid w:val="004564AC"/>
    <w:rsid w:val="00463CAD"/>
    <w:rsid w:val="00465C9A"/>
    <w:rsid w:val="00472C18"/>
    <w:rsid w:val="004745AE"/>
    <w:rsid w:val="00475CEC"/>
    <w:rsid w:val="00482A85"/>
    <w:rsid w:val="00483394"/>
    <w:rsid w:val="004840D6"/>
    <w:rsid w:val="004934C5"/>
    <w:rsid w:val="004935F3"/>
    <w:rsid w:val="004A6145"/>
    <w:rsid w:val="004B5059"/>
    <w:rsid w:val="004B57CD"/>
    <w:rsid w:val="004C2370"/>
    <w:rsid w:val="004C2827"/>
    <w:rsid w:val="004D0937"/>
    <w:rsid w:val="004D5D6B"/>
    <w:rsid w:val="004D6488"/>
    <w:rsid w:val="004E17E3"/>
    <w:rsid w:val="004E2ECB"/>
    <w:rsid w:val="004E43BA"/>
    <w:rsid w:val="004E4A57"/>
    <w:rsid w:val="004F293A"/>
    <w:rsid w:val="004F664D"/>
    <w:rsid w:val="00502BB1"/>
    <w:rsid w:val="005166CC"/>
    <w:rsid w:val="005230EE"/>
    <w:rsid w:val="005271D3"/>
    <w:rsid w:val="00542FFA"/>
    <w:rsid w:val="00543382"/>
    <w:rsid w:val="00547EA0"/>
    <w:rsid w:val="00562678"/>
    <w:rsid w:val="005631A1"/>
    <w:rsid w:val="00567A52"/>
    <w:rsid w:val="00567B61"/>
    <w:rsid w:val="00570A15"/>
    <w:rsid w:val="005760EF"/>
    <w:rsid w:val="005764B5"/>
    <w:rsid w:val="00581B41"/>
    <w:rsid w:val="005954E0"/>
    <w:rsid w:val="005A4583"/>
    <w:rsid w:val="005A79E2"/>
    <w:rsid w:val="005D0361"/>
    <w:rsid w:val="005D45A5"/>
    <w:rsid w:val="005D6B80"/>
    <w:rsid w:val="005E0A03"/>
    <w:rsid w:val="005E3A0F"/>
    <w:rsid w:val="005F1A3C"/>
    <w:rsid w:val="005F4AC3"/>
    <w:rsid w:val="005F4C8E"/>
    <w:rsid w:val="0060091A"/>
    <w:rsid w:val="006010EA"/>
    <w:rsid w:val="00604211"/>
    <w:rsid w:val="00606B1C"/>
    <w:rsid w:val="0060721D"/>
    <w:rsid w:val="006138AE"/>
    <w:rsid w:val="006201EB"/>
    <w:rsid w:val="00620F7D"/>
    <w:rsid w:val="00625BF1"/>
    <w:rsid w:val="006268A1"/>
    <w:rsid w:val="00626A36"/>
    <w:rsid w:val="00631452"/>
    <w:rsid w:val="00631E85"/>
    <w:rsid w:val="00632942"/>
    <w:rsid w:val="00637E05"/>
    <w:rsid w:val="00641B1C"/>
    <w:rsid w:val="00647E10"/>
    <w:rsid w:val="006527FA"/>
    <w:rsid w:val="00666C70"/>
    <w:rsid w:val="00670E3E"/>
    <w:rsid w:val="00673688"/>
    <w:rsid w:val="00675486"/>
    <w:rsid w:val="00692A0C"/>
    <w:rsid w:val="00693335"/>
    <w:rsid w:val="00694D0E"/>
    <w:rsid w:val="006A00EA"/>
    <w:rsid w:val="006A3575"/>
    <w:rsid w:val="006A3EF2"/>
    <w:rsid w:val="006B2769"/>
    <w:rsid w:val="006D6486"/>
    <w:rsid w:val="006D6EDE"/>
    <w:rsid w:val="006D7EF7"/>
    <w:rsid w:val="006E0214"/>
    <w:rsid w:val="006E0C59"/>
    <w:rsid w:val="006E4F52"/>
    <w:rsid w:val="006E7CC3"/>
    <w:rsid w:val="006F1D6E"/>
    <w:rsid w:val="006F78FD"/>
    <w:rsid w:val="0070537D"/>
    <w:rsid w:val="00705EE9"/>
    <w:rsid w:val="007134E8"/>
    <w:rsid w:val="00714FFC"/>
    <w:rsid w:val="00715ACC"/>
    <w:rsid w:val="00723ACC"/>
    <w:rsid w:val="007279B6"/>
    <w:rsid w:val="0073128F"/>
    <w:rsid w:val="0073560B"/>
    <w:rsid w:val="00744206"/>
    <w:rsid w:val="00746E49"/>
    <w:rsid w:val="0075445C"/>
    <w:rsid w:val="007544C5"/>
    <w:rsid w:val="00756ED1"/>
    <w:rsid w:val="007639EF"/>
    <w:rsid w:val="0076494C"/>
    <w:rsid w:val="00785415"/>
    <w:rsid w:val="007A6293"/>
    <w:rsid w:val="007C3E2B"/>
    <w:rsid w:val="007C434D"/>
    <w:rsid w:val="007D15DE"/>
    <w:rsid w:val="007D2829"/>
    <w:rsid w:val="007D6E1F"/>
    <w:rsid w:val="007E647D"/>
    <w:rsid w:val="007F44D8"/>
    <w:rsid w:val="008120E6"/>
    <w:rsid w:val="00820C8E"/>
    <w:rsid w:val="0082488A"/>
    <w:rsid w:val="008419DA"/>
    <w:rsid w:val="00842E88"/>
    <w:rsid w:val="00854BCF"/>
    <w:rsid w:val="00855EEB"/>
    <w:rsid w:val="00867D31"/>
    <w:rsid w:val="00882AF4"/>
    <w:rsid w:val="00882D6B"/>
    <w:rsid w:val="008902BB"/>
    <w:rsid w:val="00891003"/>
    <w:rsid w:val="008B092A"/>
    <w:rsid w:val="008B1832"/>
    <w:rsid w:val="008C4B98"/>
    <w:rsid w:val="008C6383"/>
    <w:rsid w:val="008D1190"/>
    <w:rsid w:val="008D11D1"/>
    <w:rsid w:val="008D7AB3"/>
    <w:rsid w:val="008E2D99"/>
    <w:rsid w:val="008E5195"/>
    <w:rsid w:val="008E7A03"/>
    <w:rsid w:val="008F1048"/>
    <w:rsid w:val="008F2AEC"/>
    <w:rsid w:val="00902461"/>
    <w:rsid w:val="00912739"/>
    <w:rsid w:val="009311AE"/>
    <w:rsid w:val="00932750"/>
    <w:rsid w:val="00940F3E"/>
    <w:rsid w:val="00944D2F"/>
    <w:rsid w:val="00952D0C"/>
    <w:rsid w:val="00954011"/>
    <w:rsid w:val="00955CD0"/>
    <w:rsid w:val="0096415F"/>
    <w:rsid w:val="0096454B"/>
    <w:rsid w:val="00967009"/>
    <w:rsid w:val="00972296"/>
    <w:rsid w:val="0097335B"/>
    <w:rsid w:val="0097579C"/>
    <w:rsid w:val="009849B9"/>
    <w:rsid w:val="009863FF"/>
    <w:rsid w:val="00987E5E"/>
    <w:rsid w:val="00987FDD"/>
    <w:rsid w:val="009A060E"/>
    <w:rsid w:val="009A066B"/>
    <w:rsid w:val="009B2487"/>
    <w:rsid w:val="009B2B12"/>
    <w:rsid w:val="009B5591"/>
    <w:rsid w:val="009C0C6D"/>
    <w:rsid w:val="009C0F37"/>
    <w:rsid w:val="009C3947"/>
    <w:rsid w:val="009D3E7B"/>
    <w:rsid w:val="009D4EE8"/>
    <w:rsid w:val="009E08A2"/>
    <w:rsid w:val="009E39F0"/>
    <w:rsid w:val="009F0AD1"/>
    <w:rsid w:val="009F2722"/>
    <w:rsid w:val="009F4EF4"/>
    <w:rsid w:val="009F4F0E"/>
    <w:rsid w:val="009F6DDA"/>
    <w:rsid w:val="00A009A1"/>
    <w:rsid w:val="00A025E7"/>
    <w:rsid w:val="00A03761"/>
    <w:rsid w:val="00A0545A"/>
    <w:rsid w:val="00A10034"/>
    <w:rsid w:val="00A20B2F"/>
    <w:rsid w:val="00A2442F"/>
    <w:rsid w:val="00A26919"/>
    <w:rsid w:val="00A323F4"/>
    <w:rsid w:val="00A33791"/>
    <w:rsid w:val="00A438C6"/>
    <w:rsid w:val="00A4470B"/>
    <w:rsid w:val="00A548D5"/>
    <w:rsid w:val="00A5786D"/>
    <w:rsid w:val="00A6016B"/>
    <w:rsid w:val="00A60B1E"/>
    <w:rsid w:val="00A62A57"/>
    <w:rsid w:val="00A65DA8"/>
    <w:rsid w:val="00A72CDE"/>
    <w:rsid w:val="00A81E14"/>
    <w:rsid w:val="00A83352"/>
    <w:rsid w:val="00A86C59"/>
    <w:rsid w:val="00AA1E04"/>
    <w:rsid w:val="00AA6B05"/>
    <w:rsid w:val="00AB0DBC"/>
    <w:rsid w:val="00AB40FD"/>
    <w:rsid w:val="00AB6058"/>
    <w:rsid w:val="00AC04B5"/>
    <w:rsid w:val="00AC1F80"/>
    <w:rsid w:val="00AD2AB7"/>
    <w:rsid w:val="00AD5DF3"/>
    <w:rsid w:val="00AF2271"/>
    <w:rsid w:val="00AF62DB"/>
    <w:rsid w:val="00B04E45"/>
    <w:rsid w:val="00B1161C"/>
    <w:rsid w:val="00B12284"/>
    <w:rsid w:val="00B23145"/>
    <w:rsid w:val="00B34069"/>
    <w:rsid w:val="00B3502D"/>
    <w:rsid w:val="00B35509"/>
    <w:rsid w:val="00B37493"/>
    <w:rsid w:val="00B40C8C"/>
    <w:rsid w:val="00B4279F"/>
    <w:rsid w:val="00B5322E"/>
    <w:rsid w:val="00B553E7"/>
    <w:rsid w:val="00B57B41"/>
    <w:rsid w:val="00B63A56"/>
    <w:rsid w:val="00B67482"/>
    <w:rsid w:val="00B7387B"/>
    <w:rsid w:val="00B919F0"/>
    <w:rsid w:val="00B92490"/>
    <w:rsid w:val="00B955FE"/>
    <w:rsid w:val="00B95A83"/>
    <w:rsid w:val="00B95C6C"/>
    <w:rsid w:val="00BA1C0C"/>
    <w:rsid w:val="00BA5504"/>
    <w:rsid w:val="00BA590E"/>
    <w:rsid w:val="00BB32F6"/>
    <w:rsid w:val="00BC10EA"/>
    <w:rsid w:val="00BC2A2D"/>
    <w:rsid w:val="00BC6E48"/>
    <w:rsid w:val="00BC7632"/>
    <w:rsid w:val="00BD003D"/>
    <w:rsid w:val="00BE47A7"/>
    <w:rsid w:val="00BE5E14"/>
    <w:rsid w:val="00BF52DE"/>
    <w:rsid w:val="00BF5665"/>
    <w:rsid w:val="00C0071D"/>
    <w:rsid w:val="00C2659A"/>
    <w:rsid w:val="00C374FF"/>
    <w:rsid w:val="00C40E28"/>
    <w:rsid w:val="00C410BA"/>
    <w:rsid w:val="00C51163"/>
    <w:rsid w:val="00C554A4"/>
    <w:rsid w:val="00C67111"/>
    <w:rsid w:val="00C72C04"/>
    <w:rsid w:val="00C76D27"/>
    <w:rsid w:val="00C77CA0"/>
    <w:rsid w:val="00C831E4"/>
    <w:rsid w:val="00C840CE"/>
    <w:rsid w:val="00C849D8"/>
    <w:rsid w:val="00C91767"/>
    <w:rsid w:val="00CA2F50"/>
    <w:rsid w:val="00CB3A5C"/>
    <w:rsid w:val="00CB7799"/>
    <w:rsid w:val="00CE39DC"/>
    <w:rsid w:val="00CE455D"/>
    <w:rsid w:val="00CE6D42"/>
    <w:rsid w:val="00CF5D85"/>
    <w:rsid w:val="00D0580D"/>
    <w:rsid w:val="00D075E8"/>
    <w:rsid w:val="00D12257"/>
    <w:rsid w:val="00D24C34"/>
    <w:rsid w:val="00D2549A"/>
    <w:rsid w:val="00D33BC0"/>
    <w:rsid w:val="00D4157C"/>
    <w:rsid w:val="00D41744"/>
    <w:rsid w:val="00D56896"/>
    <w:rsid w:val="00D67299"/>
    <w:rsid w:val="00D72BD5"/>
    <w:rsid w:val="00D86EB5"/>
    <w:rsid w:val="00D92345"/>
    <w:rsid w:val="00D95489"/>
    <w:rsid w:val="00DA66D4"/>
    <w:rsid w:val="00DB1328"/>
    <w:rsid w:val="00DB26B2"/>
    <w:rsid w:val="00DB279D"/>
    <w:rsid w:val="00DB4B88"/>
    <w:rsid w:val="00DB5679"/>
    <w:rsid w:val="00DC23F1"/>
    <w:rsid w:val="00DC7208"/>
    <w:rsid w:val="00DC7D2C"/>
    <w:rsid w:val="00DD294C"/>
    <w:rsid w:val="00DE1619"/>
    <w:rsid w:val="00DE5411"/>
    <w:rsid w:val="00DE719B"/>
    <w:rsid w:val="00DF362F"/>
    <w:rsid w:val="00E06104"/>
    <w:rsid w:val="00E1234F"/>
    <w:rsid w:val="00E125BA"/>
    <w:rsid w:val="00E14B8A"/>
    <w:rsid w:val="00E20F74"/>
    <w:rsid w:val="00E21C2A"/>
    <w:rsid w:val="00E27FD3"/>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B47AA"/>
    <w:rsid w:val="00EC5994"/>
    <w:rsid w:val="00ED40FF"/>
    <w:rsid w:val="00ED7881"/>
    <w:rsid w:val="00EE0052"/>
    <w:rsid w:val="00EE3A9C"/>
    <w:rsid w:val="00EE5121"/>
    <w:rsid w:val="00EF1A93"/>
    <w:rsid w:val="00EF5B62"/>
    <w:rsid w:val="00EF68EB"/>
    <w:rsid w:val="00F03157"/>
    <w:rsid w:val="00F034E8"/>
    <w:rsid w:val="00F03FF2"/>
    <w:rsid w:val="00F10201"/>
    <w:rsid w:val="00F11141"/>
    <w:rsid w:val="00F21213"/>
    <w:rsid w:val="00F27E2E"/>
    <w:rsid w:val="00F32250"/>
    <w:rsid w:val="00F33278"/>
    <w:rsid w:val="00F3632B"/>
    <w:rsid w:val="00F41A17"/>
    <w:rsid w:val="00F4490C"/>
    <w:rsid w:val="00F47538"/>
    <w:rsid w:val="00F55578"/>
    <w:rsid w:val="00F63486"/>
    <w:rsid w:val="00F71460"/>
    <w:rsid w:val="00F7364F"/>
    <w:rsid w:val="00F75976"/>
    <w:rsid w:val="00F81977"/>
    <w:rsid w:val="00F83338"/>
    <w:rsid w:val="00F848CD"/>
    <w:rsid w:val="00F8576D"/>
    <w:rsid w:val="00F87124"/>
    <w:rsid w:val="00F90C98"/>
    <w:rsid w:val="00F920D3"/>
    <w:rsid w:val="00FA28DB"/>
    <w:rsid w:val="00FA3BEF"/>
    <w:rsid w:val="00FA4223"/>
    <w:rsid w:val="00FA54FD"/>
    <w:rsid w:val="00FB07AB"/>
    <w:rsid w:val="00FB14A6"/>
    <w:rsid w:val="00FB2EDD"/>
    <w:rsid w:val="00FB3DA8"/>
    <w:rsid w:val="00FB4F93"/>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7A66EB4-E6AB-45E5-B9AD-B54091EC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autoRedefine/>
    <w:uiPriority w:val="99"/>
    <w:rsid w:val="00444ED5"/>
    <w:rPr>
      <w:rFonts w:cs="David"/>
    </w:rPr>
  </w:style>
  <w:style w:type="character" w:customStyle="1" w:styleId="af">
    <w:name w:val="טקסט הערת סיום תו"/>
    <w:basedOn w:val="a0"/>
    <w:link w:val="ae"/>
    <w:uiPriority w:val="99"/>
    <w:locked/>
    <w:rsid w:val="00444ED5"/>
    <w:rPr>
      <w:rFonts w:cs="David"/>
      <w:sz w:val="20"/>
      <w:szCs w:val="20"/>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1883">
      <w:bodyDiv w:val="1"/>
      <w:marLeft w:val="0"/>
      <w:marRight w:val="0"/>
      <w:marTop w:val="0"/>
      <w:marBottom w:val="0"/>
      <w:divBdr>
        <w:top w:val="none" w:sz="0" w:space="0" w:color="auto"/>
        <w:left w:val="none" w:sz="0" w:space="0" w:color="auto"/>
        <w:bottom w:val="none" w:sz="0" w:space="0" w:color="auto"/>
        <w:right w:val="none" w:sz="0" w:space="0" w:color="auto"/>
      </w:divBdr>
    </w:div>
    <w:div w:id="200677075">
      <w:bodyDiv w:val="1"/>
      <w:marLeft w:val="0"/>
      <w:marRight w:val="0"/>
      <w:marTop w:val="0"/>
      <w:marBottom w:val="0"/>
      <w:divBdr>
        <w:top w:val="none" w:sz="0" w:space="0" w:color="auto"/>
        <w:left w:val="none" w:sz="0" w:space="0" w:color="auto"/>
        <w:bottom w:val="none" w:sz="0" w:space="0" w:color="auto"/>
        <w:right w:val="none" w:sz="0" w:space="0" w:color="auto"/>
      </w:divBdr>
    </w:div>
    <w:div w:id="536431825">
      <w:bodyDiv w:val="1"/>
      <w:marLeft w:val="0"/>
      <w:marRight w:val="0"/>
      <w:marTop w:val="0"/>
      <w:marBottom w:val="0"/>
      <w:divBdr>
        <w:top w:val="none" w:sz="0" w:space="0" w:color="auto"/>
        <w:left w:val="none" w:sz="0" w:space="0" w:color="auto"/>
        <w:bottom w:val="none" w:sz="0" w:space="0" w:color="auto"/>
        <w:right w:val="none" w:sz="0" w:space="0" w:color="auto"/>
      </w:divBdr>
      <w:divsChild>
        <w:div w:id="439489968">
          <w:marLeft w:val="0"/>
          <w:marRight w:val="0"/>
          <w:marTop w:val="0"/>
          <w:marBottom w:val="0"/>
          <w:divBdr>
            <w:top w:val="none" w:sz="0" w:space="0" w:color="auto"/>
            <w:left w:val="none" w:sz="0" w:space="0" w:color="auto"/>
            <w:bottom w:val="none" w:sz="0" w:space="0" w:color="auto"/>
            <w:right w:val="none" w:sz="0" w:space="0" w:color="auto"/>
          </w:divBdr>
        </w:div>
      </w:divsChild>
    </w:div>
    <w:div w:id="1753232965">
      <w:bodyDiv w:val="1"/>
      <w:marLeft w:val="0"/>
      <w:marRight w:val="0"/>
      <w:marTop w:val="0"/>
      <w:marBottom w:val="0"/>
      <w:divBdr>
        <w:top w:val="none" w:sz="0" w:space="0" w:color="auto"/>
        <w:left w:val="none" w:sz="0" w:space="0" w:color="auto"/>
        <w:bottom w:val="none" w:sz="0" w:space="0" w:color="auto"/>
        <w:right w:val="none" w:sz="0" w:space="0" w:color="auto"/>
      </w:divBdr>
    </w:div>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 w:id="21113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AD62-2BA9-40D3-B0C4-C8D99113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726</Words>
  <Characters>3428</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Baruch Weintraub</dc:creator>
  <cp:lastModifiedBy>שמואל מרצבך</cp:lastModifiedBy>
  <cp:revision>5</cp:revision>
  <cp:lastPrinted>2016-02-21T08:13:00Z</cp:lastPrinted>
  <dcterms:created xsi:type="dcterms:W3CDTF">2018-11-28T20:57:00Z</dcterms:created>
  <dcterms:modified xsi:type="dcterms:W3CDTF">2018-11-28T22:22:00Z</dcterms:modified>
</cp:coreProperties>
</file>