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82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</w:p>
    <w:p w:rsidR="00B67482" w:rsidRPr="001A7452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</w:pPr>
      <w:r w:rsidRPr="001A7452"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  <w:t>נייר עמדה</w:t>
      </w:r>
    </w:p>
    <w:p w:rsidR="00B67482" w:rsidRDefault="00962E1C" w:rsidP="0000267A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4"/>
          <w:szCs w:val="24"/>
          <w:rtl/>
        </w:rPr>
        <w:t xml:space="preserve">הצעת חוק חניה לנכים (תיקון </w:t>
      </w:r>
      <w:r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–</w:t>
      </w:r>
      <w:r>
        <w:rPr>
          <w:rStyle w:val="a8"/>
          <w:rFonts w:ascii="Arial" w:hAnsi="Arial" w:cs="Guttman Keren" w:hint="cs"/>
          <w:bCs/>
          <w:color w:val="1D5872"/>
          <w:sz w:val="24"/>
          <w:szCs w:val="24"/>
          <w:rtl/>
        </w:rPr>
        <w:t xml:space="preserve"> תג נכה אישי), </w:t>
      </w:r>
      <w:proofErr w:type="spellStart"/>
      <w:r>
        <w:rPr>
          <w:rStyle w:val="a8"/>
          <w:rFonts w:ascii="Arial" w:hAnsi="Arial" w:cs="Guttman Keren" w:hint="cs"/>
          <w:bCs/>
          <w:color w:val="1D5872"/>
          <w:sz w:val="24"/>
          <w:szCs w:val="24"/>
          <w:rtl/>
        </w:rPr>
        <w:t>התשע"ה</w:t>
      </w:r>
      <w:proofErr w:type="spellEnd"/>
      <w:r w:rsidR="001047FB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–</w:t>
      </w:r>
      <w:r>
        <w:rPr>
          <w:rStyle w:val="a8"/>
          <w:rFonts w:ascii="Arial" w:hAnsi="Arial" w:cs="Guttman Keren" w:hint="cs"/>
          <w:bCs/>
          <w:color w:val="1D5872"/>
          <w:sz w:val="24"/>
          <w:szCs w:val="24"/>
          <w:rtl/>
        </w:rPr>
        <w:t>2015</w:t>
      </w:r>
    </w:p>
    <w:p w:rsidR="00B67482" w:rsidRPr="00B35509" w:rsidRDefault="00B67482" w:rsidP="001047FB">
      <w:pPr>
        <w:spacing w:after="240" w:line="360" w:lineRule="auto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</w:p>
    <w:p w:rsidR="00962E1C" w:rsidRDefault="00962E1C" w:rsidP="005724CB">
      <w:pPr>
        <w:spacing w:after="240" w:line="360" w:lineRule="auto"/>
        <w:jc w:val="both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>לאזרחים המוגבלים בניידותם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 w:rsidR="005724CB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5724C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כלי ה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>רכב</w:t>
      </w:r>
      <w:r w:rsidR="005724C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הפרטי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משמש כרגליים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מאפשר חופש תנועה.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בעבור אותם אנשים, 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האפשרות לחנות </w:t>
      </w:r>
      <w:r w:rsidR="005724C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בסמיכות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ל</w:t>
      </w:r>
      <w:r w:rsidR="006D7214">
        <w:rPr>
          <w:rFonts w:cs="David"/>
          <w:snapToGrid w:val="0"/>
          <w:color w:val="000000"/>
          <w:sz w:val="24"/>
          <w:szCs w:val="24"/>
          <w:rtl/>
          <w:lang w:eastAsia="ja-JP"/>
        </w:rPr>
        <w:t>יעד</w:t>
      </w:r>
      <w:r w:rsidR="005724C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ם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היא עניין 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>חיוני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,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והמדינה מסייעת להם בכך בא</w:t>
      </w:r>
      <w:r w:rsidR="00AB6AF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צעות 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חוק חניה לנכים, </w:t>
      </w:r>
      <w:proofErr w:type="spellStart"/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>התשנ"ד</w:t>
      </w:r>
      <w:proofErr w:type="spellEnd"/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>–1993</w:t>
      </w:r>
      <w:r w:rsidR="005724C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מכ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חו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מונפק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תג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מיוחד 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הנושא את מספר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לוחית הזיהוי </w:t>
      </w:r>
      <w:r w:rsidRPr="00962E1C">
        <w:rPr>
          <w:rFonts w:cs="David"/>
          <w:snapToGrid w:val="0"/>
          <w:color w:val="000000"/>
          <w:sz w:val="24"/>
          <w:szCs w:val="24"/>
          <w:rtl/>
          <w:lang w:eastAsia="ja-JP"/>
        </w:rPr>
        <w:t>של הרכב</w:t>
      </w:r>
      <w:r w:rsidR="005724C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ומאפשר לחנות בחניה ייעודית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. </w:t>
      </w:r>
    </w:p>
    <w:p w:rsidR="00962E1C" w:rsidRPr="001047FB" w:rsidRDefault="005724CB" w:rsidP="001047FB">
      <w:pPr>
        <w:spacing w:after="240" w:line="360" w:lineRule="auto"/>
        <w:jc w:val="both"/>
        <w:rPr>
          <w:rStyle w:val="a8"/>
          <w:rFonts w:cs="David"/>
          <w:b w:val="0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הצעת החוק 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שלפנינו מבקשת</w:t>
      </w:r>
      <w:bookmarkStart w:id="0" w:name="_GoBack"/>
      <w:bookmarkEnd w:id="0"/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להפוך את תג החניה ל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תג 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אישי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שיישא את מספר הזהות של נושאו, ו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כך לשפר את מצבם של הנכים ב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כמה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אופנים: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1. הנכה יוכל לחנות בחניית </w:t>
      </w:r>
      <w:r w:rsidR="00962E1C" w:rsidRP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נכים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גם כאשר הוא נוסע ברכב שאינו שלו; 2. 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כאשר 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אדם אחר נוהג 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ברכבו</w:t>
      </w:r>
      <w:r w:rsidR="006D7214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של הנכה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, לא </w:t>
      </w:r>
      <w:r w:rsidR="001047F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יוכל הנוהג בו לחנות בחניית נכים, ו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כך יתאפשר השימוש בחניות </w:t>
      </w:r>
      <w:r w:rsidR="001047F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הנכים לאנשים שבעבורן הן יועדו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1047F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(על פי ההערכות, 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הצעת החוק תביא לצמצום תגי הנכה לחצי ממספרם כיום</w:t>
      </w:r>
      <w:r w:rsidR="001047F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); 3. 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הקלה מש</w:t>
      </w:r>
      <w:r w:rsidR="001047FB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מעותית בבירוקרטיה, כיוון שלא יהיה</w:t>
      </w:r>
      <w:r w:rsidR="00962E1C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עוד צורך להפיק תג חדש בעת החלפת רכב</w:t>
      </w:r>
      <w:r w:rsidR="00F020E8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</w:p>
    <w:p w:rsidR="00B67482" w:rsidRPr="00B35509" w:rsidRDefault="00A81E14" w:rsidP="001047FB">
      <w:pPr>
        <w:spacing w:after="240" w:line="360" w:lineRule="auto"/>
        <w:jc w:val="both"/>
        <w:rPr>
          <w:rFonts w:ascii="Arial" w:hAnsi="Arial" w:cs="Guttman Keren"/>
          <w:b/>
          <w:bCs/>
          <w:color w:val="1D5872"/>
          <w:sz w:val="22"/>
          <w:szCs w:val="22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 xml:space="preserve">מבט </w:t>
      </w: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>יהודי</w:t>
      </w:r>
    </w:p>
    <w:p w:rsidR="000949AD" w:rsidRPr="000949AD" w:rsidRDefault="006D7214" w:rsidP="001047FB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1. </w:t>
      </w:r>
      <w:r w:rsidR="00BD116E">
        <w:rPr>
          <w:rFonts w:cs="David" w:hint="cs"/>
          <w:b/>
          <w:bCs/>
          <w:sz w:val="24"/>
          <w:szCs w:val="24"/>
          <w:rtl/>
        </w:rPr>
        <w:t>הצורך האנושי לחופש תנועה</w:t>
      </w:r>
      <w:r w:rsidR="00B67482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BD116E">
        <w:rPr>
          <w:rFonts w:cs="David" w:hint="cs"/>
          <w:sz w:val="24"/>
          <w:szCs w:val="24"/>
          <w:rtl/>
        </w:rPr>
        <w:t>התורה מ</w:t>
      </w:r>
      <w:r w:rsidR="00A13B2D">
        <w:rPr>
          <w:rFonts w:cs="David" w:hint="cs"/>
          <w:sz w:val="24"/>
          <w:szCs w:val="24"/>
          <w:rtl/>
        </w:rPr>
        <w:t>כירה</w:t>
      </w:r>
      <w:r w:rsidR="00BD116E">
        <w:rPr>
          <w:rFonts w:cs="David" w:hint="cs"/>
          <w:sz w:val="24"/>
          <w:szCs w:val="24"/>
          <w:rtl/>
        </w:rPr>
        <w:t xml:space="preserve"> </w:t>
      </w:r>
      <w:r w:rsidR="00A13B2D">
        <w:rPr>
          <w:rFonts w:cs="David" w:hint="cs"/>
          <w:sz w:val="24"/>
          <w:szCs w:val="24"/>
          <w:rtl/>
        </w:rPr>
        <w:t>ב</w:t>
      </w:r>
      <w:r w:rsidR="00BD116E">
        <w:rPr>
          <w:rFonts w:cs="David" w:hint="cs"/>
          <w:sz w:val="24"/>
          <w:szCs w:val="24"/>
          <w:rtl/>
        </w:rPr>
        <w:t xml:space="preserve">חשיבות חירותו של האדם </w:t>
      </w:r>
      <w:r w:rsidR="001047FB">
        <w:rPr>
          <w:rFonts w:cs="David" w:hint="cs"/>
          <w:sz w:val="24"/>
          <w:szCs w:val="24"/>
          <w:rtl/>
        </w:rPr>
        <w:t xml:space="preserve">וביכולתו </w:t>
      </w:r>
      <w:r w:rsidR="00BD116E">
        <w:rPr>
          <w:rFonts w:cs="David" w:hint="cs"/>
          <w:sz w:val="24"/>
          <w:szCs w:val="24"/>
          <w:rtl/>
        </w:rPr>
        <w:t>לנוע</w:t>
      </w:r>
      <w:r w:rsidR="001047FB">
        <w:rPr>
          <w:rFonts w:cs="David" w:hint="cs"/>
          <w:sz w:val="24"/>
          <w:szCs w:val="24"/>
          <w:rtl/>
        </w:rPr>
        <w:t xml:space="preserve"> בחופשיות</w:t>
      </w:r>
      <w:r w:rsidR="00BD116E">
        <w:rPr>
          <w:rFonts w:cs="David" w:hint="cs"/>
          <w:sz w:val="24"/>
          <w:szCs w:val="24"/>
          <w:rtl/>
        </w:rPr>
        <w:t xml:space="preserve"> ממקום למקום</w:t>
      </w:r>
      <w:r w:rsidR="00AB6AF5">
        <w:rPr>
          <w:rFonts w:cs="David" w:hint="cs"/>
          <w:sz w:val="24"/>
          <w:szCs w:val="24"/>
          <w:rtl/>
        </w:rPr>
        <w:t>.</w:t>
      </w:r>
      <w:r w:rsidR="00AB6AF5">
        <w:rPr>
          <w:rStyle w:val="af0"/>
          <w:sz w:val="24"/>
          <w:szCs w:val="24"/>
          <w:rtl/>
        </w:rPr>
        <w:endnoteReference w:id="1"/>
      </w:r>
      <w:r w:rsidR="00A13B2D">
        <w:rPr>
          <w:rFonts w:cs="David" w:hint="cs"/>
          <w:sz w:val="24"/>
          <w:szCs w:val="24"/>
          <w:rtl/>
        </w:rPr>
        <w:t xml:space="preserve"> לגבי שנת היובל, </w:t>
      </w:r>
      <w:r>
        <w:rPr>
          <w:rFonts w:cs="David" w:hint="cs"/>
          <w:sz w:val="24"/>
          <w:szCs w:val="24"/>
          <w:rtl/>
        </w:rPr>
        <w:t>ש</w:t>
      </w:r>
      <w:r w:rsidR="00A13B2D">
        <w:rPr>
          <w:rFonts w:cs="David" w:hint="cs"/>
          <w:sz w:val="24"/>
          <w:szCs w:val="24"/>
          <w:rtl/>
        </w:rPr>
        <w:t xml:space="preserve">בה משתחררים </w:t>
      </w:r>
      <w:r>
        <w:rPr>
          <w:rFonts w:cs="David" w:hint="cs"/>
          <w:sz w:val="24"/>
          <w:szCs w:val="24"/>
          <w:rtl/>
        </w:rPr>
        <w:t xml:space="preserve">כל </w:t>
      </w:r>
      <w:r w:rsidR="00A13B2D">
        <w:rPr>
          <w:rFonts w:cs="David" w:hint="cs"/>
          <w:sz w:val="24"/>
          <w:szCs w:val="24"/>
          <w:rtl/>
        </w:rPr>
        <w:t>העבדים</w:t>
      </w:r>
      <w:r w:rsidR="001047FB">
        <w:rPr>
          <w:rFonts w:cs="David" w:hint="cs"/>
          <w:sz w:val="24"/>
          <w:szCs w:val="24"/>
          <w:rtl/>
        </w:rPr>
        <w:t>,</w:t>
      </w:r>
      <w:r w:rsidR="00A13B2D">
        <w:rPr>
          <w:rFonts w:cs="David" w:hint="cs"/>
          <w:sz w:val="24"/>
          <w:szCs w:val="24"/>
          <w:rtl/>
        </w:rPr>
        <w:t xml:space="preserve"> נאמר: "</w:t>
      </w:r>
      <w:proofErr w:type="spellStart"/>
      <w:r w:rsidR="00A13B2D" w:rsidRPr="00A13B2D">
        <w:rPr>
          <w:rFonts w:cs="David"/>
          <w:sz w:val="24"/>
          <w:szCs w:val="24"/>
          <w:rtl/>
        </w:rPr>
        <w:t>וְקִדַּשְׁתֶּם</w:t>
      </w:r>
      <w:proofErr w:type="spellEnd"/>
      <w:r w:rsidR="00A13B2D" w:rsidRPr="00A13B2D">
        <w:rPr>
          <w:rFonts w:cs="David"/>
          <w:sz w:val="24"/>
          <w:szCs w:val="24"/>
          <w:rtl/>
        </w:rPr>
        <w:t xml:space="preserve"> אֵת שְׁנַת </w:t>
      </w:r>
      <w:proofErr w:type="spellStart"/>
      <w:r w:rsidR="00A13B2D" w:rsidRPr="00A13B2D">
        <w:rPr>
          <w:rFonts w:cs="David"/>
          <w:sz w:val="24"/>
          <w:szCs w:val="24"/>
          <w:rtl/>
        </w:rPr>
        <w:t>הַחֲמִשִּׁים</w:t>
      </w:r>
      <w:proofErr w:type="spellEnd"/>
      <w:r w:rsidR="00A13B2D" w:rsidRPr="00A13B2D">
        <w:rPr>
          <w:rFonts w:cs="David"/>
          <w:sz w:val="24"/>
          <w:szCs w:val="24"/>
          <w:rtl/>
        </w:rPr>
        <w:t xml:space="preserve"> שָׁנָה וּקְרָאתֶם דְּרוֹר בָּאָרֶץ לְכָל יֹשְׁבֶיהָ</w:t>
      </w:r>
      <w:r w:rsidR="00A13B2D">
        <w:rPr>
          <w:rFonts w:cs="David" w:hint="cs"/>
          <w:sz w:val="24"/>
          <w:szCs w:val="24"/>
          <w:rtl/>
        </w:rPr>
        <w:t>"</w:t>
      </w:r>
      <w:r w:rsidR="001047FB">
        <w:rPr>
          <w:rFonts w:cs="David" w:hint="cs"/>
          <w:sz w:val="24"/>
          <w:szCs w:val="24"/>
          <w:rtl/>
        </w:rPr>
        <w:t xml:space="preserve"> (ויקרא כה, י)</w:t>
      </w:r>
      <w:r w:rsidR="00A13B2D">
        <w:rPr>
          <w:rFonts w:cs="David" w:hint="cs"/>
          <w:sz w:val="24"/>
          <w:szCs w:val="24"/>
          <w:rtl/>
        </w:rPr>
        <w:t>, ו</w:t>
      </w:r>
      <w:r w:rsidR="001047FB">
        <w:rPr>
          <w:rFonts w:cs="David" w:hint="cs"/>
          <w:sz w:val="24"/>
          <w:szCs w:val="24"/>
          <w:rtl/>
        </w:rPr>
        <w:t>חכמים ביארו כי המילה "דרור" משמעה</w:t>
      </w:r>
      <w:r w:rsidR="00A13B2D">
        <w:rPr>
          <w:rFonts w:cs="David" w:hint="cs"/>
          <w:sz w:val="24"/>
          <w:szCs w:val="24"/>
          <w:rtl/>
        </w:rPr>
        <w:t xml:space="preserve"> "</w:t>
      </w:r>
      <w:r w:rsidR="00A13B2D" w:rsidRPr="00A13B2D">
        <w:rPr>
          <w:rFonts w:cs="David"/>
          <w:sz w:val="24"/>
          <w:szCs w:val="24"/>
          <w:rtl/>
        </w:rPr>
        <w:t>שדר בכל מקום שהוא רוצה, ואינו ברשות אחרים</w:t>
      </w:r>
      <w:r w:rsidR="00A13B2D">
        <w:rPr>
          <w:rFonts w:cs="David" w:hint="cs"/>
          <w:sz w:val="24"/>
          <w:szCs w:val="24"/>
          <w:rtl/>
        </w:rPr>
        <w:t>".</w:t>
      </w:r>
      <w:r w:rsidR="00A13B2D">
        <w:rPr>
          <w:rStyle w:val="af0"/>
          <w:sz w:val="24"/>
          <w:szCs w:val="24"/>
          <w:rtl/>
        </w:rPr>
        <w:endnoteReference w:id="2"/>
      </w:r>
      <w:r w:rsidR="001047FB">
        <w:rPr>
          <w:rFonts w:cs="David" w:hint="cs"/>
          <w:sz w:val="24"/>
          <w:szCs w:val="24"/>
          <w:rtl/>
        </w:rPr>
        <w:t xml:space="preserve"> </w:t>
      </w:r>
      <w:r w:rsidR="000949AD">
        <w:rPr>
          <w:rFonts w:cs="David" w:hint="cs"/>
          <w:sz w:val="24"/>
          <w:szCs w:val="24"/>
          <w:rtl/>
        </w:rPr>
        <w:t>ב</w:t>
      </w:r>
      <w:r w:rsidR="001047FB">
        <w:rPr>
          <w:rFonts w:cs="David" w:hint="cs"/>
          <w:sz w:val="24"/>
          <w:szCs w:val="24"/>
          <w:rtl/>
        </w:rPr>
        <w:t>עקבות זאת, אנו מוצאים כי ה</w:t>
      </w:r>
      <w:r w:rsidR="000949AD">
        <w:rPr>
          <w:rFonts w:cs="David" w:hint="cs"/>
          <w:sz w:val="24"/>
          <w:szCs w:val="24"/>
          <w:rtl/>
        </w:rPr>
        <w:t xml:space="preserve">הלכה </w:t>
      </w:r>
      <w:r w:rsidR="001047FB">
        <w:rPr>
          <w:rFonts w:cs="David" w:hint="cs"/>
          <w:sz w:val="24"/>
          <w:szCs w:val="24"/>
          <w:rtl/>
        </w:rPr>
        <w:t xml:space="preserve">אוסרת להגביל את </w:t>
      </w:r>
      <w:r w:rsidR="000949AD">
        <w:rPr>
          <w:rFonts w:cs="David" w:hint="cs"/>
          <w:sz w:val="24"/>
          <w:szCs w:val="24"/>
          <w:rtl/>
        </w:rPr>
        <w:t xml:space="preserve">תנועותיו של </w:t>
      </w:r>
      <w:r w:rsidR="001047FB">
        <w:rPr>
          <w:rFonts w:cs="David" w:hint="cs"/>
          <w:sz w:val="24"/>
          <w:szCs w:val="24"/>
          <w:rtl/>
        </w:rPr>
        <w:t>הזולת, ואף מטילה חיוב ממוני במידה ש</w:t>
      </w:r>
      <w:r w:rsidR="000949AD">
        <w:rPr>
          <w:rFonts w:cs="David" w:hint="cs"/>
          <w:sz w:val="24"/>
          <w:szCs w:val="24"/>
          <w:rtl/>
        </w:rPr>
        <w:t>הגבלה זו גרמה להפסד רווחים.</w:t>
      </w:r>
      <w:r w:rsidR="000949AD">
        <w:rPr>
          <w:rStyle w:val="af0"/>
          <w:sz w:val="24"/>
          <w:szCs w:val="24"/>
          <w:rtl/>
        </w:rPr>
        <w:endnoteReference w:id="3"/>
      </w:r>
      <w:r w:rsidR="001047FB">
        <w:rPr>
          <w:rFonts w:cs="David" w:hint="cs"/>
          <w:sz w:val="24"/>
          <w:szCs w:val="24"/>
          <w:rtl/>
        </w:rPr>
        <w:t xml:space="preserve"> עוד קבעו חכמים</w:t>
      </w:r>
      <w:r w:rsidR="00E95106">
        <w:rPr>
          <w:rFonts w:cs="David" w:hint="cs"/>
          <w:sz w:val="24"/>
          <w:szCs w:val="24"/>
          <w:rtl/>
        </w:rPr>
        <w:t xml:space="preserve"> כי הגבלת תנועתה של א</w:t>
      </w:r>
      <w:r w:rsidR="001047FB">
        <w:rPr>
          <w:rFonts w:cs="David" w:hint="cs"/>
          <w:sz w:val="24"/>
          <w:szCs w:val="24"/>
          <w:rtl/>
        </w:rPr>
        <w:t>י</w:t>
      </w:r>
      <w:r w:rsidR="00E95106">
        <w:rPr>
          <w:rFonts w:cs="David" w:hint="cs"/>
          <w:sz w:val="24"/>
          <w:szCs w:val="24"/>
          <w:rtl/>
        </w:rPr>
        <w:t xml:space="preserve">שה על ידי בעלה </w:t>
      </w:r>
      <w:r w:rsidR="001047FB">
        <w:rPr>
          <w:rFonts w:cs="David" w:hint="cs"/>
          <w:sz w:val="24"/>
          <w:szCs w:val="24"/>
          <w:rtl/>
        </w:rPr>
        <w:t xml:space="preserve">היא עילה מספקת לשם </w:t>
      </w:r>
      <w:r w:rsidR="00E95106">
        <w:rPr>
          <w:rFonts w:cs="David" w:hint="cs"/>
          <w:sz w:val="24"/>
          <w:szCs w:val="24"/>
          <w:rtl/>
        </w:rPr>
        <w:t xml:space="preserve">כפיית </w:t>
      </w:r>
      <w:r w:rsidR="00E613EB">
        <w:rPr>
          <w:rFonts w:cs="David" w:hint="cs"/>
          <w:sz w:val="24"/>
          <w:szCs w:val="24"/>
          <w:rtl/>
        </w:rPr>
        <w:t>גט.</w:t>
      </w:r>
      <w:r w:rsidR="00E613EB">
        <w:rPr>
          <w:rStyle w:val="af0"/>
          <w:sz w:val="24"/>
          <w:szCs w:val="24"/>
          <w:rtl/>
        </w:rPr>
        <w:endnoteReference w:id="4"/>
      </w:r>
    </w:p>
    <w:p w:rsidR="00A83CEC" w:rsidRDefault="006D7214" w:rsidP="005724CB">
      <w:p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2. </w:t>
      </w:r>
      <w:r w:rsidR="00A83CEC">
        <w:rPr>
          <w:rFonts w:cs="David" w:hint="cs"/>
          <w:b/>
          <w:bCs/>
          <w:sz w:val="24"/>
          <w:szCs w:val="24"/>
          <w:rtl/>
        </w:rPr>
        <w:t>חובת החברה לדאוג למילוי צרכיהם הבסיסיים של בניה</w:t>
      </w:r>
      <w:r w:rsidR="00A83CEC" w:rsidRPr="00E85901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A83CEC" w:rsidRPr="00E85901">
        <w:rPr>
          <w:rFonts w:cs="David"/>
          <w:sz w:val="24"/>
          <w:szCs w:val="24"/>
          <w:rtl/>
        </w:rPr>
        <w:t>התורה מצווה אותנו לסייע ל</w:t>
      </w:r>
      <w:r w:rsidR="001047FB">
        <w:rPr>
          <w:rFonts w:cs="David" w:hint="cs"/>
          <w:sz w:val="24"/>
          <w:szCs w:val="24"/>
          <w:rtl/>
        </w:rPr>
        <w:t>עני</w:t>
      </w:r>
      <w:r w:rsidR="00A83CEC" w:rsidRPr="00E85901">
        <w:rPr>
          <w:rFonts w:cs="David"/>
          <w:sz w:val="24"/>
          <w:szCs w:val="24"/>
          <w:rtl/>
        </w:rPr>
        <w:t xml:space="preserve"> "די מחסורו אשר </w:t>
      </w:r>
      <w:r w:rsidR="001047FB">
        <w:rPr>
          <w:rFonts w:cs="David"/>
          <w:sz w:val="24"/>
          <w:szCs w:val="24"/>
          <w:rtl/>
        </w:rPr>
        <w:t>יחסר לו" (דברים ט</w:t>
      </w:r>
      <w:r w:rsidR="00A83CEC" w:rsidRPr="00E85901">
        <w:rPr>
          <w:rFonts w:cs="David"/>
          <w:sz w:val="24"/>
          <w:szCs w:val="24"/>
          <w:rtl/>
        </w:rPr>
        <w:t>ו, ח), ומכאן למדו חכמים</w:t>
      </w:r>
      <w:r w:rsidR="001047FB">
        <w:rPr>
          <w:rFonts w:cs="David" w:hint="cs"/>
          <w:sz w:val="24"/>
          <w:szCs w:val="24"/>
          <w:rtl/>
        </w:rPr>
        <w:t xml:space="preserve"> כי</w:t>
      </w:r>
      <w:r w:rsidR="00A83CEC" w:rsidRPr="00E85901">
        <w:rPr>
          <w:rFonts w:cs="David"/>
          <w:sz w:val="24"/>
          <w:szCs w:val="24"/>
          <w:rtl/>
        </w:rPr>
        <w:t xml:space="preserve"> "לפי מה שחסר העני אתה מצווה </w:t>
      </w:r>
      <w:proofErr w:type="spellStart"/>
      <w:r w:rsidR="00A83CEC" w:rsidRPr="00E85901">
        <w:rPr>
          <w:rFonts w:cs="David"/>
          <w:sz w:val="24"/>
          <w:szCs w:val="24"/>
          <w:rtl/>
        </w:rPr>
        <w:t>ליתן</w:t>
      </w:r>
      <w:proofErr w:type="spellEnd"/>
      <w:r w:rsidR="00A83CEC" w:rsidRPr="00E85901">
        <w:rPr>
          <w:rFonts w:cs="David"/>
          <w:sz w:val="24"/>
          <w:szCs w:val="24"/>
          <w:rtl/>
        </w:rPr>
        <w:t xml:space="preserve"> לו</w:t>
      </w:r>
      <w:r w:rsidR="00A83CEC">
        <w:rPr>
          <w:rFonts w:cs="David" w:hint="cs"/>
          <w:sz w:val="24"/>
          <w:szCs w:val="24"/>
          <w:rtl/>
        </w:rPr>
        <w:t>"</w:t>
      </w:r>
      <w:r w:rsidR="00930E8A">
        <w:rPr>
          <w:rFonts w:cs="David" w:hint="cs"/>
          <w:sz w:val="24"/>
          <w:szCs w:val="24"/>
          <w:rtl/>
        </w:rPr>
        <w:t>.</w:t>
      </w:r>
      <w:r w:rsidR="001047FB">
        <w:rPr>
          <w:rStyle w:val="af0"/>
          <w:sz w:val="24"/>
          <w:szCs w:val="24"/>
          <w:rtl/>
        </w:rPr>
        <w:endnoteReference w:id="5"/>
      </w:r>
      <w:r w:rsidR="00930E8A">
        <w:rPr>
          <w:rFonts w:cs="David"/>
          <w:sz w:val="24"/>
          <w:szCs w:val="24"/>
          <w:rtl/>
        </w:rPr>
        <w:t xml:space="preserve"> דעת רבים מן הראשונים</w:t>
      </w:r>
      <w:r w:rsidR="00930E8A">
        <w:rPr>
          <w:rFonts w:cs="David" w:hint="cs"/>
          <w:sz w:val="24"/>
          <w:szCs w:val="24"/>
          <w:rtl/>
        </w:rPr>
        <w:t xml:space="preserve"> היא</w:t>
      </w:r>
      <w:r w:rsidR="00A83CEC" w:rsidRPr="00E85901">
        <w:rPr>
          <w:rFonts w:cs="David"/>
          <w:sz w:val="24"/>
          <w:szCs w:val="24"/>
          <w:rtl/>
        </w:rPr>
        <w:t xml:space="preserve"> שאין מצווה זו אמורה דווקא </w:t>
      </w:r>
      <w:r w:rsidR="00930E8A">
        <w:rPr>
          <w:rFonts w:cs="David" w:hint="cs"/>
          <w:sz w:val="24"/>
          <w:szCs w:val="24"/>
          <w:rtl/>
        </w:rPr>
        <w:t xml:space="preserve">לגבי </w:t>
      </w:r>
      <w:r w:rsidR="00A83CEC" w:rsidRPr="00E85901">
        <w:rPr>
          <w:rFonts w:cs="David"/>
          <w:sz w:val="24"/>
          <w:szCs w:val="24"/>
          <w:rtl/>
        </w:rPr>
        <w:t xml:space="preserve">עני, אלא </w:t>
      </w:r>
      <w:r w:rsidR="00930E8A">
        <w:rPr>
          <w:rFonts w:cs="David" w:hint="cs"/>
          <w:sz w:val="24"/>
          <w:szCs w:val="24"/>
          <w:rtl/>
        </w:rPr>
        <w:t xml:space="preserve">לגבי כל </w:t>
      </w:r>
      <w:r w:rsidR="00A83CEC" w:rsidRPr="00E85901">
        <w:rPr>
          <w:rFonts w:cs="David"/>
          <w:sz w:val="24"/>
          <w:szCs w:val="24"/>
          <w:rtl/>
        </w:rPr>
        <w:t xml:space="preserve">מי </w:t>
      </w:r>
      <w:r w:rsidR="00930E8A">
        <w:rPr>
          <w:rFonts w:cs="David" w:hint="cs"/>
          <w:sz w:val="24"/>
          <w:szCs w:val="24"/>
          <w:rtl/>
        </w:rPr>
        <w:t xml:space="preserve">שחסר </w:t>
      </w:r>
      <w:proofErr w:type="spellStart"/>
      <w:r w:rsidR="00930E8A">
        <w:rPr>
          <w:rFonts w:cs="David" w:hint="cs"/>
          <w:sz w:val="24"/>
          <w:szCs w:val="24"/>
          <w:rtl/>
        </w:rPr>
        <w:t>דבר</w:t>
      </w:r>
      <w:r w:rsidR="00930E8A">
        <w:rPr>
          <w:rFonts w:cs="David" w:hint="eastAsia"/>
          <w:sz w:val="24"/>
          <w:szCs w:val="24"/>
          <w:rtl/>
        </w:rPr>
        <w:t>־מה</w:t>
      </w:r>
      <w:proofErr w:type="spellEnd"/>
      <w:r w:rsidR="00A83CEC" w:rsidRPr="00E85901">
        <w:rPr>
          <w:rFonts w:cs="David"/>
          <w:sz w:val="24"/>
          <w:szCs w:val="24"/>
          <w:rtl/>
        </w:rPr>
        <w:t xml:space="preserve"> בסיסי</w:t>
      </w:r>
      <w:r w:rsidR="00930E8A">
        <w:rPr>
          <w:rFonts w:cs="David" w:hint="cs"/>
          <w:sz w:val="24"/>
          <w:szCs w:val="24"/>
          <w:rtl/>
        </w:rPr>
        <w:t xml:space="preserve"> ואינו</w:t>
      </w:r>
      <w:r w:rsidR="00A83CEC">
        <w:rPr>
          <w:rFonts w:cs="David" w:hint="cs"/>
          <w:sz w:val="24"/>
          <w:szCs w:val="24"/>
          <w:rtl/>
        </w:rPr>
        <w:t xml:space="preserve"> </w:t>
      </w:r>
      <w:r w:rsidR="00930E8A">
        <w:rPr>
          <w:rFonts w:cs="David" w:hint="cs"/>
          <w:sz w:val="24"/>
          <w:szCs w:val="24"/>
          <w:rtl/>
        </w:rPr>
        <w:t>יכול למלא חיסרון זה</w:t>
      </w:r>
      <w:r w:rsidR="00A83CEC">
        <w:rPr>
          <w:rFonts w:cs="David" w:hint="cs"/>
          <w:sz w:val="24"/>
          <w:szCs w:val="24"/>
          <w:rtl/>
        </w:rPr>
        <w:t xml:space="preserve"> בכוחות עצמו</w:t>
      </w:r>
      <w:r w:rsidR="00AB6AF5">
        <w:rPr>
          <w:rStyle w:val="af0"/>
          <w:sz w:val="24"/>
          <w:szCs w:val="24"/>
          <w:rtl/>
        </w:rPr>
        <w:endnoteReference w:id="6"/>
      </w:r>
      <w:r w:rsidR="00A83CEC" w:rsidRPr="00E85901">
        <w:rPr>
          <w:rFonts w:cs="David"/>
          <w:sz w:val="24"/>
          <w:szCs w:val="24"/>
          <w:rtl/>
        </w:rPr>
        <w:t xml:space="preserve"> </w:t>
      </w:r>
      <w:r w:rsidR="00930E8A">
        <w:rPr>
          <w:rFonts w:cs="David"/>
          <w:sz w:val="24"/>
          <w:szCs w:val="24"/>
          <w:rtl/>
        </w:rPr>
        <w:t>–</w:t>
      </w:r>
      <w:r w:rsidR="00A83CEC">
        <w:rPr>
          <w:rFonts w:cs="David" w:hint="cs"/>
          <w:sz w:val="24"/>
          <w:szCs w:val="24"/>
          <w:rtl/>
        </w:rPr>
        <w:t xml:space="preserve"> </w:t>
      </w:r>
      <w:r w:rsidR="00A83CEC" w:rsidRPr="00E85901">
        <w:rPr>
          <w:rFonts w:cs="David"/>
          <w:sz w:val="24"/>
          <w:szCs w:val="24"/>
          <w:rtl/>
        </w:rPr>
        <w:t xml:space="preserve">כעין </w:t>
      </w:r>
      <w:r w:rsidR="00A83CEC">
        <w:rPr>
          <w:rFonts w:cs="David" w:hint="cs"/>
          <w:sz w:val="24"/>
          <w:szCs w:val="24"/>
          <w:rtl/>
        </w:rPr>
        <w:t xml:space="preserve">הצורך בתנועה </w:t>
      </w:r>
      <w:proofErr w:type="spellStart"/>
      <w:r w:rsidR="00930E8A">
        <w:rPr>
          <w:rFonts w:cs="David" w:hint="cs"/>
          <w:sz w:val="24"/>
          <w:szCs w:val="24"/>
          <w:rtl/>
        </w:rPr>
        <w:t>ש</w:t>
      </w:r>
      <w:r w:rsidR="002D7C01">
        <w:rPr>
          <w:rFonts w:cs="David" w:hint="cs"/>
          <w:sz w:val="24"/>
          <w:szCs w:val="24"/>
          <w:rtl/>
        </w:rPr>
        <w:t>אנשם</w:t>
      </w:r>
      <w:proofErr w:type="spellEnd"/>
      <w:r w:rsidR="002D7C01">
        <w:rPr>
          <w:rFonts w:cs="David" w:hint="cs"/>
          <w:sz w:val="24"/>
          <w:szCs w:val="24"/>
          <w:rtl/>
        </w:rPr>
        <w:t xml:space="preserve"> עם</w:t>
      </w:r>
      <w:r w:rsidR="00F26DC6">
        <w:rPr>
          <w:rFonts w:cs="David" w:hint="cs"/>
          <w:sz w:val="24"/>
          <w:szCs w:val="24"/>
          <w:rtl/>
        </w:rPr>
        <w:t xml:space="preserve"> </w:t>
      </w:r>
      <w:r w:rsidR="00A83CEC">
        <w:rPr>
          <w:rFonts w:cs="David" w:hint="cs"/>
          <w:sz w:val="24"/>
          <w:szCs w:val="24"/>
          <w:rtl/>
        </w:rPr>
        <w:t xml:space="preserve">מוגבלויות </w:t>
      </w:r>
      <w:r w:rsidR="00F26DC6">
        <w:rPr>
          <w:rFonts w:cs="David" w:hint="cs"/>
          <w:sz w:val="24"/>
          <w:szCs w:val="24"/>
          <w:rtl/>
        </w:rPr>
        <w:t xml:space="preserve">אינם </w:t>
      </w:r>
      <w:r w:rsidR="00A83CEC">
        <w:rPr>
          <w:rFonts w:cs="David" w:hint="cs"/>
          <w:sz w:val="24"/>
          <w:szCs w:val="24"/>
          <w:rtl/>
        </w:rPr>
        <w:t xml:space="preserve">יכולים </w:t>
      </w:r>
      <w:proofErr w:type="spellStart"/>
      <w:r w:rsidR="00A83CEC">
        <w:rPr>
          <w:rFonts w:cs="David" w:hint="cs"/>
          <w:sz w:val="24"/>
          <w:szCs w:val="24"/>
          <w:rtl/>
        </w:rPr>
        <w:t>למלאו</w:t>
      </w:r>
      <w:proofErr w:type="spellEnd"/>
      <w:r w:rsidR="00A83CEC">
        <w:rPr>
          <w:rFonts w:cs="David" w:hint="cs"/>
          <w:sz w:val="24"/>
          <w:szCs w:val="24"/>
          <w:rtl/>
        </w:rPr>
        <w:t xml:space="preserve"> ללא סיוע. </w:t>
      </w:r>
      <w:r w:rsidR="001047FB">
        <w:rPr>
          <w:rFonts w:cs="David" w:hint="cs"/>
          <w:sz w:val="24"/>
          <w:szCs w:val="24"/>
          <w:rtl/>
        </w:rPr>
        <w:t>במקרים אלה</w:t>
      </w:r>
      <w:r w:rsidR="00A83CEC">
        <w:rPr>
          <w:rFonts w:cs="David" w:hint="cs"/>
          <w:sz w:val="24"/>
          <w:szCs w:val="24"/>
          <w:rtl/>
        </w:rPr>
        <w:t xml:space="preserve">, </w:t>
      </w:r>
      <w:r w:rsidR="00930E8A">
        <w:rPr>
          <w:rFonts w:cs="David" w:hint="cs"/>
          <w:sz w:val="24"/>
          <w:szCs w:val="24"/>
          <w:rtl/>
        </w:rPr>
        <w:t>חובת הסיוע</w:t>
      </w:r>
      <w:r w:rsidR="001047FB">
        <w:rPr>
          <w:rFonts w:cs="David" w:hint="cs"/>
          <w:sz w:val="24"/>
          <w:szCs w:val="24"/>
          <w:rtl/>
        </w:rPr>
        <w:t xml:space="preserve"> </w:t>
      </w:r>
      <w:r w:rsidR="00A83CEC">
        <w:rPr>
          <w:rFonts w:cs="David" w:hint="cs"/>
          <w:sz w:val="24"/>
          <w:szCs w:val="24"/>
          <w:rtl/>
        </w:rPr>
        <w:t xml:space="preserve">מוטלת על הציבור </w:t>
      </w:r>
      <w:r w:rsidR="001047FB">
        <w:rPr>
          <w:rFonts w:cs="David" w:hint="cs"/>
          <w:sz w:val="24"/>
          <w:szCs w:val="24"/>
          <w:rtl/>
        </w:rPr>
        <w:t>כולו</w:t>
      </w:r>
      <w:r w:rsidR="00A83CEC">
        <w:rPr>
          <w:rFonts w:cs="David" w:hint="cs"/>
          <w:sz w:val="24"/>
          <w:szCs w:val="24"/>
          <w:rtl/>
        </w:rPr>
        <w:t>,</w:t>
      </w:r>
      <w:r w:rsidR="00A83CEC">
        <w:rPr>
          <w:rStyle w:val="af0"/>
          <w:sz w:val="24"/>
          <w:szCs w:val="24"/>
          <w:rtl/>
        </w:rPr>
        <w:endnoteReference w:id="7"/>
      </w:r>
      <w:r w:rsidR="00A83CEC">
        <w:rPr>
          <w:rFonts w:cs="David" w:hint="cs"/>
          <w:sz w:val="24"/>
          <w:szCs w:val="24"/>
          <w:rtl/>
        </w:rPr>
        <w:t xml:space="preserve"> ו</w:t>
      </w:r>
      <w:r w:rsidR="001047FB">
        <w:rPr>
          <w:rFonts w:cs="David" w:hint="cs"/>
          <w:sz w:val="24"/>
          <w:szCs w:val="24"/>
          <w:rtl/>
        </w:rPr>
        <w:t>דומה ש</w:t>
      </w:r>
      <w:r w:rsidR="00A83CEC">
        <w:rPr>
          <w:rFonts w:cs="David" w:hint="cs"/>
          <w:sz w:val="24"/>
          <w:szCs w:val="24"/>
          <w:rtl/>
        </w:rPr>
        <w:t xml:space="preserve">הקצאת חניות </w:t>
      </w:r>
      <w:r w:rsidR="00935570">
        <w:rPr>
          <w:rFonts w:cs="David" w:hint="cs"/>
          <w:sz w:val="24"/>
          <w:szCs w:val="24"/>
          <w:rtl/>
        </w:rPr>
        <w:t xml:space="preserve">לנכים במרחב הציבורי </w:t>
      </w:r>
      <w:r w:rsidR="001047FB">
        <w:rPr>
          <w:rFonts w:cs="David" w:hint="cs"/>
          <w:sz w:val="24"/>
          <w:szCs w:val="24"/>
          <w:rtl/>
        </w:rPr>
        <w:t xml:space="preserve">היא </w:t>
      </w:r>
      <w:r w:rsidR="00A83CEC">
        <w:rPr>
          <w:rFonts w:cs="David" w:hint="cs"/>
          <w:sz w:val="24"/>
          <w:szCs w:val="24"/>
          <w:rtl/>
        </w:rPr>
        <w:t>קיום</w:t>
      </w:r>
      <w:r w:rsidR="001047FB">
        <w:rPr>
          <w:rFonts w:cs="David" w:hint="cs"/>
          <w:sz w:val="24"/>
          <w:szCs w:val="24"/>
          <w:rtl/>
        </w:rPr>
        <w:t xml:space="preserve"> הולם</w:t>
      </w:r>
      <w:r w:rsidR="00A83CEC">
        <w:rPr>
          <w:rFonts w:cs="David" w:hint="cs"/>
          <w:sz w:val="24"/>
          <w:szCs w:val="24"/>
          <w:rtl/>
        </w:rPr>
        <w:t xml:space="preserve"> של</w:t>
      </w:r>
      <w:r w:rsidR="00930E8A">
        <w:rPr>
          <w:rFonts w:cs="David" w:hint="cs"/>
          <w:sz w:val="24"/>
          <w:szCs w:val="24"/>
          <w:rtl/>
        </w:rPr>
        <w:t xml:space="preserve"> חובה זו. </w:t>
      </w:r>
      <w:r w:rsidR="001047FB">
        <w:rPr>
          <w:rFonts w:cs="David" w:hint="cs"/>
          <w:sz w:val="24"/>
          <w:szCs w:val="24"/>
          <w:rtl/>
        </w:rPr>
        <w:t>מובן</w:t>
      </w:r>
      <w:r w:rsidR="004A5F33">
        <w:rPr>
          <w:rFonts w:cs="David" w:hint="cs"/>
          <w:sz w:val="24"/>
          <w:szCs w:val="24"/>
          <w:rtl/>
        </w:rPr>
        <w:t xml:space="preserve"> כי</w:t>
      </w:r>
      <w:r w:rsidR="00930E8A">
        <w:rPr>
          <w:rFonts w:cs="David" w:hint="cs"/>
          <w:sz w:val="24"/>
          <w:szCs w:val="24"/>
          <w:rtl/>
        </w:rPr>
        <w:t xml:space="preserve"> במסגרת חובה זו,</w:t>
      </w:r>
      <w:r w:rsidR="004A5F33">
        <w:rPr>
          <w:rFonts w:cs="David" w:hint="cs"/>
          <w:sz w:val="24"/>
          <w:szCs w:val="24"/>
          <w:rtl/>
        </w:rPr>
        <w:t xml:space="preserve"> </w:t>
      </w:r>
      <w:r w:rsidR="005724CB">
        <w:rPr>
          <w:rFonts w:cs="David" w:hint="cs"/>
          <w:sz w:val="24"/>
          <w:szCs w:val="24"/>
          <w:rtl/>
        </w:rPr>
        <w:t>נדרש</w:t>
      </w:r>
      <w:r w:rsidR="001047FB">
        <w:rPr>
          <w:rFonts w:cs="David" w:hint="cs"/>
          <w:sz w:val="24"/>
          <w:szCs w:val="24"/>
          <w:rtl/>
        </w:rPr>
        <w:t xml:space="preserve"> ליישם </w:t>
      </w:r>
      <w:r w:rsidR="00930E8A">
        <w:rPr>
          <w:rFonts w:cs="David" w:hint="cs"/>
          <w:sz w:val="24"/>
          <w:szCs w:val="24"/>
          <w:rtl/>
        </w:rPr>
        <w:t xml:space="preserve">את </w:t>
      </w:r>
      <w:r w:rsidR="004A5F33">
        <w:rPr>
          <w:rFonts w:cs="David" w:hint="cs"/>
          <w:sz w:val="24"/>
          <w:szCs w:val="24"/>
          <w:rtl/>
        </w:rPr>
        <w:t xml:space="preserve">הקצאה </w:t>
      </w:r>
      <w:r w:rsidR="001047FB">
        <w:rPr>
          <w:rFonts w:cs="David" w:hint="cs"/>
          <w:sz w:val="24"/>
          <w:szCs w:val="24"/>
          <w:rtl/>
        </w:rPr>
        <w:t>בדרך היעילה המוצלחת ביותר</w:t>
      </w:r>
      <w:r w:rsidR="004A5F33">
        <w:rPr>
          <w:rFonts w:cs="David" w:hint="cs"/>
          <w:sz w:val="24"/>
          <w:szCs w:val="24"/>
          <w:rtl/>
        </w:rPr>
        <w:t>.</w:t>
      </w:r>
      <w:r w:rsidR="004B3635">
        <w:rPr>
          <w:rStyle w:val="af0"/>
          <w:sz w:val="24"/>
          <w:szCs w:val="24"/>
          <w:rtl/>
        </w:rPr>
        <w:endnoteReference w:id="8"/>
      </w:r>
    </w:p>
    <w:p w:rsidR="00A83CEC" w:rsidRPr="00206817" w:rsidRDefault="006D7214" w:rsidP="005724CB">
      <w:p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3. </w:t>
      </w:r>
      <w:r w:rsidR="004A5F33">
        <w:rPr>
          <w:rFonts w:cs="David" w:hint="cs"/>
          <w:b/>
          <w:bCs/>
          <w:sz w:val="24"/>
          <w:szCs w:val="24"/>
          <w:rtl/>
        </w:rPr>
        <w:t>עשיית עושר ולא במשפט</w:t>
      </w:r>
      <w:r w:rsidR="004A5F33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4A5F33">
        <w:rPr>
          <w:rFonts w:cs="David" w:hint="cs"/>
          <w:sz w:val="24"/>
          <w:szCs w:val="24"/>
          <w:rtl/>
        </w:rPr>
        <w:t>אדם הנהנה מזכות</w:t>
      </w:r>
      <w:r w:rsidR="00930E8A">
        <w:rPr>
          <w:rFonts w:cs="David" w:hint="cs"/>
          <w:sz w:val="24"/>
          <w:szCs w:val="24"/>
          <w:rtl/>
        </w:rPr>
        <w:t xml:space="preserve"> השייכת לחברו בדין</w:t>
      </w:r>
      <w:r w:rsidR="004A5F33">
        <w:rPr>
          <w:rFonts w:cs="David" w:hint="cs"/>
          <w:sz w:val="24"/>
          <w:szCs w:val="24"/>
          <w:rtl/>
        </w:rPr>
        <w:t xml:space="preserve"> </w:t>
      </w:r>
      <w:r w:rsidR="00930E8A">
        <w:rPr>
          <w:rFonts w:cs="David"/>
          <w:sz w:val="24"/>
          <w:szCs w:val="24"/>
          <w:rtl/>
        </w:rPr>
        <w:t>–</w:t>
      </w:r>
      <w:r w:rsidR="00930E8A">
        <w:rPr>
          <w:rFonts w:cs="David" w:hint="cs"/>
          <w:sz w:val="24"/>
          <w:szCs w:val="24"/>
          <w:rtl/>
        </w:rPr>
        <w:t xml:space="preserve"> </w:t>
      </w:r>
      <w:r w:rsidR="004A5F33">
        <w:rPr>
          <w:rFonts w:cs="David" w:hint="cs"/>
          <w:sz w:val="24"/>
          <w:szCs w:val="24"/>
          <w:rtl/>
        </w:rPr>
        <w:t>ו</w:t>
      </w:r>
      <w:r w:rsidR="00930E8A">
        <w:rPr>
          <w:rFonts w:cs="David" w:hint="cs"/>
          <w:sz w:val="24"/>
          <w:szCs w:val="24"/>
          <w:rtl/>
        </w:rPr>
        <w:t>בשל כך חברו נפגע ונמנעת ממנו אותה זכות</w:t>
      </w:r>
      <w:r w:rsidR="004A5F33">
        <w:rPr>
          <w:rFonts w:cs="David" w:hint="cs"/>
          <w:sz w:val="24"/>
          <w:szCs w:val="24"/>
          <w:rtl/>
        </w:rPr>
        <w:t xml:space="preserve"> </w:t>
      </w:r>
      <w:r w:rsidR="00930E8A">
        <w:rPr>
          <w:rFonts w:cs="David"/>
          <w:sz w:val="24"/>
          <w:szCs w:val="24"/>
          <w:rtl/>
        </w:rPr>
        <w:t>–</w:t>
      </w:r>
      <w:r w:rsidR="00930E8A">
        <w:rPr>
          <w:rFonts w:cs="David" w:hint="cs"/>
          <w:sz w:val="24"/>
          <w:szCs w:val="24"/>
          <w:rtl/>
        </w:rPr>
        <w:t xml:space="preserve"> </w:t>
      </w:r>
      <w:r w:rsidR="00206817">
        <w:rPr>
          <w:rFonts w:cs="David" w:hint="cs"/>
          <w:sz w:val="24"/>
          <w:szCs w:val="24"/>
          <w:rtl/>
        </w:rPr>
        <w:t>עשה בכך עוול ו</w:t>
      </w:r>
      <w:r w:rsidR="004A5F33">
        <w:rPr>
          <w:rFonts w:cs="David" w:hint="cs"/>
          <w:sz w:val="24"/>
          <w:szCs w:val="24"/>
          <w:rtl/>
        </w:rPr>
        <w:t xml:space="preserve">חייב </w:t>
      </w:r>
      <w:proofErr w:type="spellStart"/>
      <w:r w:rsidR="004A5F33">
        <w:rPr>
          <w:rFonts w:cs="David" w:hint="cs"/>
          <w:sz w:val="24"/>
          <w:szCs w:val="24"/>
          <w:rtl/>
        </w:rPr>
        <w:t>לפצותו</w:t>
      </w:r>
      <w:proofErr w:type="spellEnd"/>
      <w:r w:rsidR="004A5F33">
        <w:rPr>
          <w:rFonts w:cs="David" w:hint="cs"/>
          <w:sz w:val="24"/>
          <w:szCs w:val="24"/>
          <w:rtl/>
        </w:rPr>
        <w:t>.</w:t>
      </w:r>
      <w:r w:rsidR="004A5F33">
        <w:rPr>
          <w:rStyle w:val="af0"/>
          <w:sz w:val="24"/>
          <w:szCs w:val="24"/>
          <w:rtl/>
        </w:rPr>
        <w:endnoteReference w:id="9"/>
      </w:r>
      <w:r w:rsidR="00206817">
        <w:rPr>
          <w:rFonts w:cs="David" w:hint="cs"/>
          <w:sz w:val="24"/>
          <w:szCs w:val="24"/>
          <w:rtl/>
        </w:rPr>
        <w:t xml:space="preserve"> </w:t>
      </w:r>
      <w:r w:rsidR="00AB6AF5">
        <w:rPr>
          <w:rFonts w:cs="David" w:hint="cs"/>
          <w:sz w:val="24"/>
          <w:szCs w:val="24"/>
          <w:rtl/>
        </w:rPr>
        <w:t>בנידון שלפנינו</w:t>
      </w:r>
      <w:r w:rsidR="00206817">
        <w:rPr>
          <w:rFonts w:cs="David" w:hint="cs"/>
          <w:sz w:val="24"/>
          <w:szCs w:val="24"/>
          <w:rtl/>
        </w:rPr>
        <w:t xml:space="preserve">, אין ספק כי אדם בריא החונה </w:t>
      </w:r>
      <w:r w:rsidR="005724CB">
        <w:rPr>
          <w:rFonts w:cs="David" w:hint="cs"/>
          <w:sz w:val="24"/>
          <w:szCs w:val="24"/>
          <w:rtl/>
        </w:rPr>
        <w:t>בחניית נכים</w:t>
      </w:r>
      <w:r w:rsidR="00206817">
        <w:rPr>
          <w:rFonts w:cs="David" w:hint="cs"/>
          <w:sz w:val="24"/>
          <w:szCs w:val="24"/>
          <w:rtl/>
        </w:rPr>
        <w:t xml:space="preserve"> </w:t>
      </w:r>
      <w:r w:rsidR="005724CB">
        <w:rPr>
          <w:rFonts w:cs="David"/>
          <w:sz w:val="24"/>
          <w:szCs w:val="24"/>
          <w:rtl/>
        </w:rPr>
        <w:t>–</w:t>
      </w:r>
      <w:r w:rsidR="005724CB">
        <w:rPr>
          <w:rFonts w:cs="David" w:hint="cs"/>
          <w:sz w:val="24"/>
          <w:szCs w:val="24"/>
          <w:rtl/>
        </w:rPr>
        <w:t xml:space="preserve"> </w:t>
      </w:r>
      <w:r w:rsidR="00206817">
        <w:rPr>
          <w:rFonts w:cs="David" w:hint="cs"/>
          <w:sz w:val="24"/>
          <w:szCs w:val="24"/>
          <w:rtl/>
        </w:rPr>
        <w:t>תוך ניצול תג נכה המ</w:t>
      </w:r>
      <w:r w:rsidR="00AB6AF5">
        <w:rPr>
          <w:rFonts w:cs="David" w:hint="cs"/>
          <w:sz w:val="24"/>
          <w:szCs w:val="24"/>
          <w:rtl/>
        </w:rPr>
        <w:t>ש</w:t>
      </w:r>
      <w:r w:rsidR="00206817">
        <w:rPr>
          <w:rFonts w:cs="David" w:hint="cs"/>
          <w:sz w:val="24"/>
          <w:szCs w:val="24"/>
          <w:rtl/>
        </w:rPr>
        <w:t>ו</w:t>
      </w:r>
      <w:r w:rsidR="00AB6AF5">
        <w:rPr>
          <w:rFonts w:cs="David" w:hint="cs"/>
          <w:sz w:val="24"/>
          <w:szCs w:val="24"/>
          <w:rtl/>
        </w:rPr>
        <w:t>יך</w:t>
      </w:r>
      <w:r w:rsidR="00206817">
        <w:rPr>
          <w:rFonts w:cs="David" w:hint="cs"/>
          <w:sz w:val="24"/>
          <w:szCs w:val="24"/>
          <w:rtl/>
        </w:rPr>
        <w:t xml:space="preserve"> </w:t>
      </w:r>
      <w:r w:rsidR="00AB6AF5">
        <w:rPr>
          <w:rFonts w:cs="David" w:hint="cs"/>
          <w:sz w:val="24"/>
          <w:szCs w:val="24"/>
          <w:rtl/>
        </w:rPr>
        <w:t>ל</w:t>
      </w:r>
      <w:r w:rsidR="00206817">
        <w:rPr>
          <w:rFonts w:cs="David" w:hint="cs"/>
          <w:sz w:val="24"/>
          <w:szCs w:val="24"/>
          <w:rtl/>
        </w:rPr>
        <w:t>רכב ו</w:t>
      </w:r>
      <w:r w:rsidR="005724CB">
        <w:rPr>
          <w:rFonts w:cs="David" w:hint="cs"/>
          <w:sz w:val="24"/>
          <w:szCs w:val="24"/>
          <w:rtl/>
        </w:rPr>
        <w:t xml:space="preserve">מניעת </w:t>
      </w:r>
      <w:r w:rsidR="00206817">
        <w:rPr>
          <w:rFonts w:cs="David" w:hint="cs"/>
          <w:sz w:val="24"/>
          <w:szCs w:val="24"/>
          <w:rtl/>
        </w:rPr>
        <w:t xml:space="preserve">חניה מאלו </w:t>
      </w:r>
      <w:r w:rsidR="00930E8A">
        <w:rPr>
          <w:rFonts w:cs="David" w:hint="cs"/>
          <w:sz w:val="24"/>
          <w:szCs w:val="24"/>
          <w:rtl/>
        </w:rPr>
        <w:t xml:space="preserve">הזקוקים </w:t>
      </w:r>
      <w:r w:rsidR="00206817">
        <w:rPr>
          <w:rFonts w:cs="David" w:hint="cs"/>
          <w:sz w:val="24"/>
          <w:szCs w:val="24"/>
          <w:rtl/>
        </w:rPr>
        <w:t>לכך</w:t>
      </w:r>
      <w:r w:rsidR="005724CB">
        <w:rPr>
          <w:rFonts w:cs="David" w:hint="cs"/>
          <w:sz w:val="24"/>
          <w:szCs w:val="24"/>
          <w:rtl/>
        </w:rPr>
        <w:t xml:space="preserve"> </w:t>
      </w:r>
      <w:r w:rsidR="005724CB">
        <w:rPr>
          <w:rFonts w:cs="David"/>
          <w:sz w:val="24"/>
          <w:szCs w:val="24"/>
          <w:rtl/>
        </w:rPr>
        <w:t>–</w:t>
      </w:r>
      <w:r w:rsidR="00206817">
        <w:rPr>
          <w:rFonts w:cs="David" w:hint="cs"/>
          <w:sz w:val="24"/>
          <w:szCs w:val="24"/>
          <w:rtl/>
        </w:rPr>
        <w:t xml:space="preserve"> נוטל זכות שלא כ</w:t>
      </w:r>
      <w:r w:rsidR="00930E8A">
        <w:rPr>
          <w:rFonts w:cs="David" w:hint="cs"/>
          <w:sz w:val="24"/>
          <w:szCs w:val="24"/>
          <w:rtl/>
        </w:rPr>
        <w:t xml:space="preserve">דין. חומרת העוול כפולה ומכופלת </w:t>
      </w:r>
      <w:r w:rsidR="009A2089">
        <w:rPr>
          <w:rFonts w:cs="David" w:hint="cs"/>
          <w:sz w:val="24"/>
          <w:szCs w:val="24"/>
          <w:rtl/>
        </w:rPr>
        <w:t>משום ש</w:t>
      </w:r>
      <w:r w:rsidR="00930E8A">
        <w:rPr>
          <w:rFonts w:cs="David" w:hint="cs"/>
          <w:sz w:val="24"/>
          <w:szCs w:val="24"/>
          <w:rtl/>
        </w:rPr>
        <w:t>היא מופנית</w:t>
      </w:r>
      <w:r w:rsidR="00206817">
        <w:rPr>
          <w:rFonts w:cs="David" w:hint="cs"/>
          <w:sz w:val="24"/>
          <w:szCs w:val="24"/>
          <w:rtl/>
        </w:rPr>
        <w:t xml:space="preserve"> כלפי החלש והנזקק</w:t>
      </w:r>
      <w:r w:rsidR="00E3084E">
        <w:rPr>
          <w:rFonts w:cs="David" w:hint="cs"/>
          <w:sz w:val="24"/>
          <w:szCs w:val="24"/>
          <w:rtl/>
        </w:rPr>
        <w:t xml:space="preserve">. עוולות מסוג זה, והאחריות הציבורית לביעורן, </w:t>
      </w:r>
      <w:r w:rsidR="009A2089">
        <w:rPr>
          <w:rFonts w:cs="David" w:hint="cs"/>
          <w:sz w:val="24"/>
          <w:szCs w:val="24"/>
          <w:rtl/>
        </w:rPr>
        <w:t xml:space="preserve">הודגשו באופן מיוחד על ידי </w:t>
      </w:r>
      <w:r w:rsidR="00E3084E">
        <w:rPr>
          <w:rFonts w:cs="David" w:hint="cs"/>
          <w:sz w:val="24"/>
          <w:szCs w:val="24"/>
          <w:rtl/>
        </w:rPr>
        <w:t xml:space="preserve">הנביאים, </w:t>
      </w:r>
      <w:r w:rsidR="009A2089">
        <w:rPr>
          <w:rFonts w:cs="David" w:hint="cs"/>
          <w:sz w:val="24"/>
          <w:szCs w:val="24"/>
          <w:rtl/>
        </w:rPr>
        <w:t xml:space="preserve">וכך לדוגמה ניבָּא </w:t>
      </w:r>
      <w:r w:rsidR="00E3084E">
        <w:rPr>
          <w:rFonts w:cs="David" w:hint="cs"/>
          <w:sz w:val="24"/>
          <w:szCs w:val="24"/>
          <w:rtl/>
        </w:rPr>
        <w:t>ישעיהו</w:t>
      </w:r>
      <w:r w:rsidR="00930E8A">
        <w:rPr>
          <w:rFonts w:cs="David" w:hint="cs"/>
          <w:sz w:val="24"/>
          <w:szCs w:val="24"/>
          <w:rtl/>
        </w:rPr>
        <w:t xml:space="preserve"> (ג, יד)</w:t>
      </w:r>
      <w:r w:rsidR="00E3084E">
        <w:rPr>
          <w:rFonts w:cs="David" w:hint="cs"/>
          <w:sz w:val="24"/>
          <w:szCs w:val="24"/>
          <w:rtl/>
        </w:rPr>
        <w:t>: "</w:t>
      </w:r>
      <w:r w:rsidR="00E3084E" w:rsidRPr="00E3084E">
        <w:rPr>
          <w:rFonts w:cs="David"/>
          <w:sz w:val="24"/>
          <w:szCs w:val="24"/>
          <w:rtl/>
        </w:rPr>
        <w:t>ה' בְּמִשְׁפָּט יָבוֹא עִם זִקְנֵי עַמּוֹ וְשָׂרָיו וְאַתֶּם בִּעַרְתֶּם הַכֶּרֶם גְּזֵלַת הֶעָנִי בְּבָתֵּיכֶם</w:t>
      </w:r>
      <w:r w:rsidR="00E3084E">
        <w:rPr>
          <w:rFonts w:cs="David" w:hint="cs"/>
          <w:sz w:val="24"/>
          <w:szCs w:val="24"/>
          <w:rtl/>
        </w:rPr>
        <w:t>"; ו</w:t>
      </w:r>
      <w:r w:rsidR="009A2089">
        <w:rPr>
          <w:rFonts w:cs="David" w:hint="cs"/>
          <w:sz w:val="24"/>
          <w:szCs w:val="24"/>
          <w:rtl/>
        </w:rPr>
        <w:t>כך גם ניבא עמוס (ב, ז)</w:t>
      </w:r>
      <w:r w:rsidR="00E3084E">
        <w:rPr>
          <w:rFonts w:cs="David" w:hint="cs"/>
          <w:sz w:val="24"/>
          <w:szCs w:val="24"/>
          <w:rtl/>
        </w:rPr>
        <w:t>: "</w:t>
      </w:r>
      <w:r w:rsidR="00E3084E" w:rsidRPr="00E3084E">
        <w:rPr>
          <w:rFonts w:cs="David"/>
          <w:sz w:val="24"/>
          <w:szCs w:val="24"/>
          <w:rtl/>
        </w:rPr>
        <w:t xml:space="preserve">כֹּה אָמַר ה' עַל שְׁלֹשָׁה פִּשְׁעֵי יִשְׂרָאֵל וְעַל אַרְבָּעָה לֹא </w:t>
      </w:r>
      <w:proofErr w:type="spellStart"/>
      <w:r w:rsidR="00E3084E" w:rsidRPr="00E3084E">
        <w:rPr>
          <w:rFonts w:cs="David"/>
          <w:sz w:val="24"/>
          <w:szCs w:val="24"/>
          <w:rtl/>
        </w:rPr>
        <w:t>אֲשִׁיבֶנּו</w:t>
      </w:r>
      <w:proofErr w:type="spellEnd"/>
      <w:r w:rsidR="00E3084E" w:rsidRPr="00E3084E">
        <w:rPr>
          <w:rFonts w:cs="David"/>
          <w:sz w:val="24"/>
          <w:szCs w:val="24"/>
          <w:rtl/>
        </w:rPr>
        <w:t xml:space="preserve">ּ עַל מִכְרָם בַּכֶּסֶף צַדִּיק </w:t>
      </w:r>
      <w:r w:rsidR="009A2089">
        <w:rPr>
          <w:rFonts w:cs="David"/>
          <w:sz w:val="24"/>
          <w:szCs w:val="24"/>
          <w:rtl/>
        </w:rPr>
        <w:t xml:space="preserve">וְאֶבְיוֹן בַּעֲבוּר </w:t>
      </w:r>
      <w:r w:rsidR="009A2089">
        <w:rPr>
          <w:rFonts w:cs="David"/>
          <w:sz w:val="24"/>
          <w:szCs w:val="24"/>
          <w:rtl/>
        </w:rPr>
        <w:lastRenderedPageBreak/>
        <w:t>נַעֲלָיִם</w:t>
      </w:r>
      <w:r w:rsidR="009A2089">
        <w:rPr>
          <w:rFonts w:cs="David" w:hint="cs"/>
          <w:sz w:val="24"/>
          <w:szCs w:val="24"/>
          <w:rtl/>
        </w:rPr>
        <w:t>.</w:t>
      </w:r>
      <w:r w:rsidR="00E3084E" w:rsidRPr="00E3084E">
        <w:rPr>
          <w:rFonts w:cs="David"/>
          <w:sz w:val="24"/>
          <w:szCs w:val="24"/>
          <w:rtl/>
        </w:rPr>
        <w:t xml:space="preserve"> </w:t>
      </w:r>
      <w:proofErr w:type="spellStart"/>
      <w:r w:rsidR="00E3084E" w:rsidRPr="00E3084E">
        <w:rPr>
          <w:rFonts w:cs="David"/>
          <w:sz w:val="24"/>
          <w:szCs w:val="24"/>
          <w:rtl/>
        </w:rPr>
        <w:t>הַשֹּׁאֲפִים</w:t>
      </w:r>
      <w:proofErr w:type="spellEnd"/>
      <w:r w:rsidR="00E3084E" w:rsidRPr="00E3084E">
        <w:rPr>
          <w:rFonts w:cs="David"/>
          <w:sz w:val="24"/>
          <w:szCs w:val="24"/>
          <w:rtl/>
        </w:rPr>
        <w:t xml:space="preserve"> עַל עֲפַר אֶרֶץ בְּרֹאשׁ דַּלִּים וְדֶרֶךְ </w:t>
      </w:r>
      <w:proofErr w:type="spellStart"/>
      <w:r w:rsidR="00E3084E" w:rsidRPr="00E3084E">
        <w:rPr>
          <w:rFonts w:cs="David"/>
          <w:sz w:val="24"/>
          <w:szCs w:val="24"/>
          <w:rtl/>
        </w:rPr>
        <w:t>עֲנָוִים</w:t>
      </w:r>
      <w:proofErr w:type="spellEnd"/>
      <w:r w:rsidR="00E3084E" w:rsidRPr="00E3084E">
        <w:rPr>
          <w:rFonts w:cs="David"/>
          <w:sz w:val="24"/>
          <w:szCs w:val="24"/>
          <w:rtl/>
        </w:rPr>
        <w:t xml:space="preserve"> יַטּוּ</w:t>
      </w:r>
      <w:r w:rsidR="00E3084E">
        <w:rPr>
          <w:rFonts w:cs="David" w:hint="cs"/>
          <w:sz w:val="24"/>
          <w:szCs w:val="24"/>
          <w:rtl/>
        </w:rPr>
        <w:t>"</w:t>
      </w:r>
      <w:r w:rsidR="00E3084E" w:rsidRPr="00E3084E">
        <w:rPr>
          <w:rFonts w:cs="David"/>
          <w:sz w:val="24"/>
          <w:szCs w:val="24"/>
          <w:rtl/>
        </w:rPr>
        <w:t xml:space="preserve"> </w:t>
      </w:r>
      <w:r w:rsidR="009A2089">
        <w:rPr>
          <w:rFonts w:cs="David" w:hint="cs"/>
          <w:sz w:val="24"/>
          <w:szCs w:val="24"/>
          <w:rtl/>
        </w:rPr>
        <w:t xml:space="preserve"> (</w:t>
      </w:r>
      <w:r w:rsidR="00E3084E">
        <w:rPr>
          <w:rFonts w:cs="David" w:hint="cs"/>
          <w:sz w:val="24"/>
          <w:szCs w:val="24"/>
          <w:rtl/>
        </w:rPr>
        <w:t>=</w:t>
      </w:r>
      <w:r w:rsidR="009A2089">
        <w:rPr>
          <w:rFonts w:cs="David"/>
          <w:sz w:val="24"/>
          <w:szCs w:val="24"/>
          <w:rtl/>
        </w:rPr>
        <w:t xml:space="preserve">אלה </w:t>
      </w:r>
      <w:r w:rsidR="009A2089">
        <w:rPr>
          <w:rFonts w:cs="David" w:hint="cs"/>
          <w:sz w:val="24"/>
          <w:szCs w:val="24"/>
          <w:rtl/>
        </w:rPr>
        <w:t>ה</w:t>
      </w:r>
      <w:r w:rsidR="00E3084E" w:rsidRPr="00E3084E">
        <w:rPr>
          <w:rFonts w:cs="David"/>
          <w:sz w:val="24"/>
          <w:szCs w:val="24"/>
          <w:rtl/>
        </w:rPr>
        <w:t>שואפים ותאבים על עפר ארץ, לקחת מעט כברת ארץ שיש ל</w:t>
      </w:r>
      <w:r w:rsidR="00E3084E">
        <w:rPr>
          <w:rFonts w:cs="David" w:hint="cs"/>
          <w:sz w:val="24"/>
          <w:szCs w:val="24"/>
          <w:rtl/>
        </w:rPr>
        <w:t>דל</w:t>
      </w:r>
      <w:r w:rsidR="00E3084E" w:rsidRPr="00E3084E">
        <w:rPr>
          <w:rFonts w:cs="David"/>
          <w:sz w:val="24"/>
          <w:szCs w:val="24"/>
          <w:rtl/>
        </w:rPr>
        <w:t>, וע</w:t>
      </w:r>
      <w:r w:rsidR="00E3084E">
        <w:rPr>
          <w:rFonts w:cs="David" w:hint="cs"/>
          <w:sz w:val="24"/>
          <w:szCs w:val="24"/>
          <w:rtl/>
        </w:rPr>
        <w:t xml:space="preserve">ל </w:t>
      </w:r>
      <w:r w:rsidR="00E3084E" w:rsidRPr="00E3084E">
        <w:rPr>
          <w:rFonts w:cs="David"/>
          <w:sz w:val="24"/>
          <w:szCs w:val="24"/>
          <w:rtl/>
        </w:rPr>
        <w:t>י</w:t>
      </w:r>
      <w:r w:rsidR="00E3084E">
        <w:rPr>
          <w:rFonts w:cs="David" w:hint="cs"/>
          <w:sz w:val="24"/>
          <w:szCs w:val="24"/>
          <w:rtl/>
        </w:rPr>
        <w:t xml:space="preserve">די </w:t>
      </w:r>
      <w:r w:rsidR="00E3084E" w:rsidRPr="00E3084E">
        <w:rPr>
          <w:rFonts w:cs="David"/>
          <w:sz w:val="24"/>
          <w:szCs w:val="24"/>
          <w:rtl/>
        </w:rPr>
        <w:t>ז</w:t>
      </w:r>
      <w:r w:rsidR="00E3084E">
        <w:rPr>
          <w:rFonts w:cs="David" w:hint="cs"/>
          <w:sz w:val="24"/>
          <w:szCs w:val="24"/>
          <w:rtl/>
        </w:rPr>
        <w:t>ה</w:t>
      </w:r>
      <w:r w:rsidR="005724CB">
        <w:rPr>
          <w:rFonts w:cs="David"/>
          <w:sz w:val="24"/>
          <w:szCs w:val="24"/>
          <w:rtl/>
        </w:rPr>
        <w:t xml:space="preserve"> החלשים נוטים מדרכם והולכי</w:t>
      </w:r>
      <w:r w:rsidR="005724CB">
        <w:rPr>
          <w:rFonts w:cs="David" w:hint="cs"/>
          <w:sz w:val="24"/>
          <w:szCs w:val="24"/>
          <w:rtl/>
        </w:rPr>
        <w:t>ם</w:t>
      </w:r>
      <w:r w:rsidR="00E3084E" w:rsidRPr="00E3084E">
        <w:rPr>
          <w:rFonts w:cs="David"/>
          <w:sz w:val="24"/>
          <w:szCs w:val="24"/>
          <w:rtl/>
        </w:rPr>
        <w:t xml:space="preserve"> דרך עקלתון מפני יראתם</w:t>
      </w:r>
      <w:r w:rsidR="009A2089">
        <w:rPr>
          <w:rFonts w:cs="David" w:hint="cs"/>
          <w:sz w:val="24"/>
          <w:szCs w:val="24"/>
          <w:rtl/>
        </w:rPr>
        <w:t xml:space="preserve"> [על פי רש"י </w:t>
      </w:r>
      <w:proofErr w:type="spellStart"/>
      <w:r w:rsidR="009A2089">
        <w:rPr>
          <w:rFonts w:cs="David" w:hint="cs"/>
          <w:sz w:val="24"/>
          <w:szCs w:val="24"/>
          <w:rtl/>
        </w:rPr>
        <w:t>ומלבי"ם</w:t>
      </w:r>
      <w:proofErr w:type="spellEnd"/>
      <w:r w:rsidR="009A2089">
        <w:rPr>
          <w:rFonts w:cs="David" w:hint="cs"/>
          <w:sz w:val="24"/>
          <w:szCs w:val="24"/>
          <w:rtl/>
        </w:rPr>
        <w:t>, שם]</w:t>
      </w:r>
      <w:r w:rsidR="00E3084E">
        <w:rPr>
          <w:rFonts w:cs="David" w:hint="cs"/>
          <w:sz w:val="24"/>
          <w:szCs w:val="24"/>
          <w:rtl/>
        </w:rPr>
        <w:t>)</w:t>
      </w:r>
      <w:r w:rsidR="009A2089">
        <w:rPr>
          <w:rFonts w:cs="David" w:hint="cs"/>
          <w:sz w:val="24"/>
          <w:szCs w:val="24"/>
          <w:rtl/>
        </w:rPr>
        <w:t>;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206817">
        <w:rPr>
          <w:rFonts w:cs="David" w:hint="cs"/>
          <w:sz w:val="24"/>
          <w:szCs w:val="24"/>
          <w:rtl/>
        </w:rPr>
        <w:t>וכבר אמרו חכמינו: "</w:t>
      </w:r>
      <w:r w:rsidR="00206817" w:rsidRPr="00206817">
        <w:rPr>
          <w:rFonts w:cs="David"/>
          <w:sz w:val="24"/>
          <w:szCs w:val="24"/>
          <w:rtl/>
        </w:rPr>
        <w:t>כל מי שאינו צריך ליטול ונוטל אינו נפטר מן העולם עד שיצטרך לבריות</w:t>
      </w:r>
      <w:r w:rsidR="00206817">
        <w:rPr>
          <w:rFonts w:cs="David" w:hint="cs"/>
          <w:sz w:val="24"/>
          <w:szCs w:val="24"/>
          <w:rtl/>
        </w:rPr>
        <w:t>"</w:t>
      </w:r>
      <w:r w:rsidR="009A2089">
        <w:rPr>
          <w:rFonts w:cs="David" w:hint="cs"/>
          <w:sz w:val="24"/>
          <w:szCs w:val="24"/>
          <w:rtl/>
        </w:rPr>
        <w:t xml:space="preserve"> (משנה, פאה ח, ט)</w:t>
      </w:r>
      <w:r w:rsidR="00206817" w:rsidRPr="0023112D">
        <w:rPr>
          <w:rFonts w:cs="David" w:hint="cs"/>
          <w:sz w:val="24"/>
          <w:szCs w:val="24"/>
          <w:rtl/>
        </w:rPr>
        <w:t>.</w:t>
      </w:r>
    </w:p>
    <w:p w:rsidR="00A83CEC" w:rsidRDefault="006D7214" w:rsidP="009A2089">
      <w:p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4. </w:t>
      </w:r>
      <w:r w:rsidR="00206817">
        <w:rPr>
          <w:rFonts w:cs="David" w:hint="cs"/>
          <w:b/>
          <w:bCs/>
          <w:sz w:val="24"/>
          <w:szCs w:val="24"/>
          <w:rtl/>
        </w:rPr>
        <w:t>חובת השלטון להשליט יושר וצדק</w:t>
      </w:r>
      <w:r w:rsidR="0023112D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9A2089">
        <w:rPr>
          <w:rFonts w:cs="David" w:hint="cs"/>
          <w:sz w:val="24"/>
          <w:szCs w:val="24"/>
          <w:rtl/>
        </w:rPr>
        <w:t xml:space="preserve">אחד </w:t>
      </w:r>
      <w:r w:rsidR="004D6C03">
        <w:rPr>
          <w:rFonts w:cs="David" w:hint="cs"/>
          <w:sz w:val="24"/>
          <w:szCs w:val="24"/>
          <w:rtl/>
        </w:rPr>
        <w:t>מתפקידיה העיקריי</w:t>
      </w:r>
      <w:r w:rsidR="009A2089">
        <w:rPr>
          <w:rFonts w:cs="David" w:hint="cs"/>
          <w:sz w:val="24"/>
          <w:szCs w:val="24"/>
          <w:rtl/>
        </w:rPr>
        <w:t>ם של המלכות הוא השלטת סדר ומשפט</w:t>
      </w:r>
      <w:r w:rsidR="004D6C03">
        <w:rPr>
          <w:rFonts w:cs="David" w:hint="cs"/>
          <w:sz w:val="24"/>
          <w:szCs w:val="24"/>
          <w:rtl/>
        </w:rPr>
        <w:t xml:space="preserve"> ומניעת </w:t>
      </w:r>
      <w:r w:rsidR="009A2089">
        <w:rPr>
          <w:rFonts w:cs="David" w:hint="cs"/>
          <w:sz w:val="24"/>
          <w:szCs w:val="24"/>
          <w:rtl/>
        </w:rPr>
        <w:t>ניצול ועושק, וכ</w:t>
      </w:r>
      <w:r w:rsidR="004D6C03">
        <w:rPr>
          <w:rFonts w:cs="David" w:hint="cs"/>
          <w:sz w:val="24"/>
          <w:szCs w:val="24"/>
          <w:rtl/>
        </w:rPr>
        <w:t>לשונו של הרמב"ם: "למלאות העולם צדק ולשבור זרוע הרשעים".</w:t>
      </w:r>
      <w:r w:rsidR="004D6C03">
        <w:rPr>
          <w:rStyle w:val="af0"/>
          <w:sz w:val="24"/>
          <w:szCs w:val="24"/>
          <w:rtl/>
        </w:rPr>
        <w:endnoteReference w:id="10"/>
      </w:r>
      <w:r w:rsidR="004D6C03">
        <w:rPr>
          <w:rFonts w:cs="David" w:hint="cs"/>
          <w:sz w:val="24"/>
          <w:szCs w:val="24"/>
          <w:rtl/>
        </w:rPr>
        <w:t xml:space="preserve"> עשיית הצדק ומניעת העושק מחייבת, במקרה שלפנינו, את נקיטת האמצעים הנכונים על מנת להבטיח </w:t>
      </w:r>
      <w:r w:rsidR="009A2089">
        <w:rPr>
          <w:rFonts w:cs="David" w:hint="cs"/>
          <w:sz w:val="24"/>
          <w:szCs w:val="24"/>
          <w:rtl/>
        </w:rPr>
        <w:t>ש</w:t>
      </w:r>
      <w:r w:rsidR="004D6C03">
        <w:rPr>
          <w:rFonts w:cs="David" w:hint="cs"/>
          <w:sz w:val="24"/>
          <w:szCs w:val="24"/>
          <w:rtl/>
        </w:rPr>
        <w:t xml:space="preserve">חניות הנכים אכן </w:t>
      </w:r>
      <w:r w:rsidR="009A2089">
        <w:rPr>
          <w:rFonts w:cs="David" w:hint="cs"/>
          <w:sz w:val="24"/>
          <w:szCs w:val="24"/>
          <w:rtl/>
        </w:rPr>
        <w:t>תשמשנּה</w:t>
      </w:r>
      <w:r w:rsidR="004D6C03">
        <w:rPr>
          <w:rFonts w:cs="David" w:hint="cs"/>
          <w:sz w:val="24"/>
          <w:szCs w:val="24"/>
          <w:rtl/>
        </w:rPr>
        <w:t xml:space="preserve"> את </w:t>
      </w:r>
      <w:r w:rsidR="009A2089">
        <w:rPr>
          <w:rFonts w:cs="David" w:hint="cs"/>
          <w:sz w:val="24"/>
          <w:szCs w:val="24"/>
          <w:rtl/>
        </w:rPr>
        <w:t>הזקוקים להן</w:t>
      </w:r>
      <w:r w:rsidR="004D6C03">
        <w:rPr>
          <w:rFonts w:cs="David" w:hint="cs"/>
          <w:sz w:val="24"/>
          <w:szCs w:val="24"/>
          <w:rtl/>
        </w:rPr>
        <w:t xml:space="preserve"> ולא </w:t>
      </w:r>
      <w:r w:rsidR="009A2089">
        <w:rPr>
          <w:rFonts w:cs="David" w:hint="cs"/>
          <w:sz w:val="24"/>
          <w:szCs w:val="24"/>
          <w:rtl/>
        </w:rPr>
        <w:t xml:space="preserve">תילקחנה </w:t>
      </w:r>
      <w:r w:rsidR="004D6C03">
        <w:rPr>
          <w:rFonts w:cs="David" w:hint="cs"/>
          <w:sz w:val="24"/>
          <w:szCs w:val="24"/>
          <w:rtl/>
        </w:rPr>
        <w:t>על ידי בעלי זרוע.</w:t>
      </w:r>
    </w:p>
    <w:p w:rsidR="00B67482" w:rsidRPr="009A2089" w:rsidRDefault="00A81E14" w:rsidP="009A2089">
      <w:p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לאור האמור, רבני </w:t>
      </w:r>
      <w:r w:rsidR="00930E8A">
        <w:rPr>
          <w:rFonts w:cs="David" w:hint="cs"/>
          <w:b/>
          <w:bCs/>
          <w:sz w:val="24"/>
          <w:szCs w:val="24"/>
          <w:rtl/>
        </w:rPr>
        <w:t>'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צהר</w:t>
      </w:r>
      <w:proofErr w:type="spellEnd"/>
      <w:r w:rsidR="00930E8A">
        <w:rPr>
          <w:rFonts w:cs="David" w:hint="cs"/>
          <w:b/>
          <w:bCs/>
          <w:sz w:val="24"/>
          <w:szCs w:val="24"/>
          <w:rtl/>
        </w:rPr>
        <w:t>'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4D6C03">
        <w:rPr>
          <w:rFonts w:cs="David" w:hint="cs"/>
          <w:b/>
          <w:bCs/>
          <w:sz w:val="24"/>
          <w:szCs w:val="24"/>
          <w:rtl/>
        </w:rPr>
        <w:t xml:space="preserve">קוראים לבחינה מחודשת של אופן </w:t>
      </w:r>
      <w:r w:rsidR="00930E8A">
        <w:rPr>
          <w:rFonts w:cs="David" w:hint="cs"/>
          <w:b/>
          <w:bCs/>
          <w:sz w:val="24"/>
          <w:szCs w:val="24"/>
          <w:rtl/>
        </w:rPr>
        <w:t xml:space="preserve">ציון </w:t>
      </w:r>
      <w:r w:rsidR="004D6C03">
        <w:rPr>
          <w:rFonts w:cs="David" w:hint="cs"/>
          <w:b/>
          <w:bCs/>
          <w:sz w:val="24"/>
          <w:szCs w:val="24"/>
          <w:rtl/>
        </w:rPr>
        <w:t>תגי הנכים</w:t>
      </w:r>
      <w:r w:rsidR="00930E8A">
        <w:rPr>
          <w:rFonts w:cs="David" w:hint="cs"/>
          <w:b/>
          <w:bCs/>
          <w:sz w:val="24"/>
          <w:szCs w:val="24"/>
          <w:rtl/>
        </w:rPr>
        <w:t xml:space="preserve"> ועדכונו</w:t>
      </w:r>
      <w:r w:rsidR="004D6C03">
        <w:rPr>
          <w:rFonts w:cs="David" w:hint="cs"/>
          <w:b/>
          <w:bCs/>
          <w:sz w:val="24"/>
          <w:szCs w:val="24"/>
          <w:rtl/>
        </w:rPr>
        <w:t xml:space="preserve"> על פי השתנות המציאות והאמצעים הטכנולוגיים</w:t>
      </w:r>
      <w:r w:rsidR="00AB6AF5">
        <w:rPr>
          <w:rFonts w:cs="David" w:hint="cs"/>
          <w:b/>
          <w:bCs/>
          <w:sz w:val="24"/>
          <w:szCs w:val="24"/>
          <w:rtl/>
        </w:rPr>
        <w:t>, כך שנתקרב במידת האפשר לחזון הנביא: "</w:t>
      </w:r>
      <w:r w:rsidR="00AB6AF5" w:rsidRPr="00AB6AF5">
        <w:rPr>
          <w:rFonts w:cs="David"/>
          <w:b/>
          <w:bCs/>
          <w:sz w:val="24"/>
          <w:szCs w:val="24"/>
          <w:rtl/>
        </w:rPr>
        <w:t>אָז יְדַלֵּג כָּאַיָּל פִּסֵּחַ</w:t>
      </w:r>
      <w:r w:rsidR="00930E8A">
        <w:rPr>
          <w:rFonts w:cs="David" w:hint="cs"/>
          <w:b/>
          <w:bCs/>
          <w:sz w:val="24"/>
          <w:szCs w:val="24"/>
          <w:rtl/>
        </w:rPr>
        <w:t>" (ישעיהו ל</w:t>
      </w:r>
      <w:r w:rsidR="00AB6AF5">
        <w:rPr>
          <w:rFonts w:cs="David" w:hint="cs"/>
          <w:b/>
          <w:bCs/>
          <w:sz w:val="24"/>
          <w:szCs w:val="24"/>
          <w:rtl/>
        </w:rPr>
        <w:t>ה, ו).</w:t>
      </w:r>
    </w:p>
    <w:sectPr w:rsidR="00B67482" w:rsidRPr="009A2089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9FC" w:rsidRDefault="008659FC">
      <w:r>
        <w:separator/>
      </w:r>
    </w:p>
  </w:endnote>
  <w:endnote w:type="continuationSeparator" w:id="0">
    <w:p w:rsidR="008659FC" w:rsidRDefault="008659FC">
      <w:r>
        <w:continuationSeparator/>
      </w:r>
    </w:p>
  </w:endnote>
  <w:endnote w:id="1">
    <w:p w:rsidR="00AB6AF5" w:rsidRDefault="00AB6AF5" w:rsidP="001047FB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1047FB">
        <w:rPr>
          <w:rFonts w:hint="cs"/>
          <w:rtl/>
        </w:rPr>
        <w:t>להרחבה, ראו אביעד הכהן, '</w:t>
      </w:r>
      <w:r w:rsidRPr="000949AD">
        <w:rPr>
          <w:rtl/>
        </w:rPr>
        <w:t>חופש התנועה והגבלתו לתכלית ראויה</w:t>
      </w:r>
      <w:r w:rsidR="001047FB">
        <w:rPr>
          <w:rFonts w:hint="cs"/>
          <w:rtl/>
        </w:rPr>
        <w:t>'</w:t>
      </w:r>
      <w:r>
        <w:rPr>
          <w:rFonts w:hint="cs"/>
          <w:rtl/>
        </w:rPr>
        <w:t xml:space="preserve">, </w:t>
      </w:r>
      <w:r w:rsidRPr="000949AD">
        <w:rPr>
          <w:rtl/>
        </w:rPr>
        <w:t xml:space="preserve">פרשת השבוע, גיליון </w:t>
      </w:r>
      <w:r w:rsidR="001047FB">
        <w:rPr>
          <w:rFonts w:hint="cs"/>
          <w:rtl/>
        </w:rPr>
        <w:t>164 (אמור</w:t>
      </w:r>
      <w:r w:rsidR="001047FB" w:rsidRPr="000949AD">
        <w:rPr>
          <w:rtl/>
        </w:rPr>
        <w:t xml:space="preserve"> תשס"</w:t>
      </w:r>
      <w:r w:rsidR="001047FB">
        <w:rPr>
          <w:rFonts w:hint="cs"/>
          <w:rtl/>
        </w:rPr>
        <w:t>ד)</w:t>
      </w:r>
      <w:r w:rsidRPr="000949AD">
        <w:rPr>
          <w:rtl/>
        </w:rPr>
        <w:t>.</w:t>
      </w:r>
    </w:p>
  </w:endnote>
  <w:endnote w:id="2">
    <w:p w:rsidR="00E613EB" w:rsidRDefault="00E613EB" w:rsidP="001047FB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פירוש רש"י על התורה </w:t>
      </w:r>
      <w:r w:rsidR="001047FB">
        <w:rPr>
          <w:rFonts w:hint="cs"/>
          <w:rtl/>
        </w:rPr>
        <w:t>(</w:t>
      </w:r>
      <w:r>
        <w:rPr>
          <w:rFonts w:hint="cs"/>
          <w:rtl/>
        </w:rPr>
        <w:t>שם</w:t>
      </w:r>
      <w:r w:rsidR="001047FB">
        <w:rPr>
          <w:rFonts w:hint="cs"/>
          <w:rtl/>
        </w:rPr>
        <w:t>)</w:t>
      </w:r>
      <w:r>
        <w:rPr>
          <w:rFonts w:hint="cs"/>
          <w:rtl/>
        </w:rPr>
        <w:t xml:space="preserve">, בעקבות </w:t>
      </w:r>
      <w:r w:rsidR="001047FB">
        <w:rPr>
          <w:rFonts w:hint="cs"/>
          <w:rtl/>
        </w:rPr>
        <w:t xml:space="preserve">הבבלי, </w:t>
      </w:r>
      <w:r>
        <w:rPr>
          <w:rFonts w:hint="cs"/>
          <w:rtl/>
        </w:rPr>
        <w:t xml:space="preserve">ראש השנה ט ע"ב ושבת קו ע"ב. </w:t>
      </w:r>
    </w:p>
  </w:endnote>
  <w:endnote w:id="3">
    <w:p w:rsidR="00E613EB" w:rsidRDefault="00E613EB" w:rsidP="009A208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שו</w:t>
      </w:r>
      <w:r w:rsidR="001047FB">
        <w:rPr>
          <w:rFonts w:hint="cs"/>
          <w:rtl/>
        </w:rPr>
        <w:t xml:space="preserve">לחן ערוך, </w:t>
      </w:r>
      <w:r>
        <w:rPr>
          <w:rFonts w:hint="cs"/>
          <w:rtl/>
        </w:rPr>
        <w:t>חו</w:t>
      </w:r>
      <w:r w:rsidR="001047FB">
        <w:rPr>
          <w:rFonts w:hint="cs"/>
          <w:rtl/>
        </w:rPr>
        <w:t xml:space="preserve">שן משפט, סימן </w:t>
      </w:r>
      <w:proofErr w:type="spellStart"/>
      <w:r>
        <w:rPr>
          <w:rFonts w:hint="cs"/>
          <w:rtl/>
        </w:rPr>
        <w:t>תכ</w:t>
      </w:r>
      <w:proofErr w:type="spellEnd"/>
      <w:r>
        <w:rPr>
          <w:rFonts w:hint="cs"/>
          <w:rtl/>
        </w:rPr>
        <w:t>,</w:t>
      </w:r>
      <w:r w:rsidR="001047FB">
        <w:rPr>
          <w:rFonts w:hint="cs"/>
          <w:rtl/>
        </w:rPr>
        <w:t xml:space="preserve"> סעיף יא. </w:t>
      </w:r>
      <w:proofErr w:type="spellStart"/>
      <w:r>
        <w:rPr>
          <w:rFonts w:hint="cs"/>
          <w:rtl/>
        </w:rPr>
        <w:t>הריב"ש</w:t>
      </w:r>
      <w:proofErr w:type="spellEnd"/>
      <w:r w:rsidR="002152EF">
        <w:rPr>
          <w:rFonts w:hint="cs"/>
          <w:rtl/>
        </w:rPr>
        <w:t xml:space="preserve"> (שו"ת, </w:t>
      </w:r>
      <w:proofErr w:type="spellStart"/>
      <w:r w:rsidR="002152EF">
        <w:rPr>
          <w:rFonts w:hint="cs"/>
          <w:rtl/>
        </w:rPr>
        <w:t>תפד</w:t>
      </w:r>
      <w:proofErr w:type="spellEnd"/>
      <w:r w:rsidR="002152EF">
        <w:rPr>
          <w:rFonts w:hint="cs"/>
          <w:rtl/>
        </w:rPr>
        <w:t>)</w:t>
      </w:r>
      <w:r w:rsidR="008C4FC8">
        <w:rPr>
          <w:rFonts w:hint="cs"/>
          <w:rtl/>
        </w:rPr>
        <w:t xml:space="preserve"> </w:t>
      </w:r>
      <w:r w:rsidR="002152EF">
        <w:rPr>
          <w:rFonts w:hint="cs"/>
          <w:rtl/>
        </w:rPr>
        <w:t>הוסיף</w:t>
      </w:r>
      <w:r>
        <w:rPr>
          <w:rFonts w:hint="cs"/>
          <w:rtl/>
        </w:rPr>
        <w:t xml:space="preserve"> שאין לכלוא חי</w:t>
      </w:r>
      <w:r w:rsidR="008C4FC8">
        <w:rPr>
          <w:rFonts w:hint="cs"/>
          <w:rtl/>
        </w:rPr>
        <w:t xml:space="preserve">יב שאינו מסוגל לעמוד בתשלומים, </w:t>
      </w:r>
      <w:r>
        <w:rPr>
          <w:rFonts w:hint="cs"/>
          <w:rtl/>
        </w:rPr>
        <w:t>אפילו אם הסכים לכך מראש, כיוון שהוא כמתנה על מה שכתוב בתורה.</w:t>
      </w:r>
    </w:p>
  </w:endnote>
  <w:endnote w:id="4">
    <w:p w:rsidR="00E613EB" w:rsidRDefault="00E613EB" w:rsidP="009A208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במשנה </w:t>
      </w:r>
      <w:r w:rsidR="009A2089">
        <w:rPr>
          <w:rFonts w:hint="cs"/>
          <w:rtl/>
        </w:rPr>
        <w:t xml:space="preserve">(כתובות ז, ה) למדנו כי </w:t>
      </w:r>
      <w:r>
        <w:rPr>
          <w:rFonts w:hint="cs"/>
          <w:rtl/>
        </w:rPr>
        <w:t>"</w:t>
      </w:r>
      <w:r w:rsidRPr="00E613EB">
        <w:rPr>
          <w:rtl/>
        </w:rPr>
        <w:t xml:space="preserve">המדיר את אשתו שלא תלך לבית האבל או לבית המשתה </w:t>
      </w:r>
      <w:r w:rsidR="009A2089">
        <w:rPr>
          <w:rtl/>
        </w:rPr>
        <w:t>–</w:t>
      </w:r>
      <w:r w:rsidR="009A2089">
        <w:rPr>
          <w:rFonts w:hint="cs"/>
          <w:rtl/>
        </w:rPr>
        <w:t xml:space="preserve"> </w:t>
      </w:r>
      <w:r w:rsidRPr="00E613EB">
        <w:rPr>
          <w:rtl/>
        </w:rPr>
        <w:t xml:space="preserve">יוציא </w:t>
      </w:r>
      <w:proofErr w:type="spellStart"/>
      <w:r w:rsidRPr="00E613EB">
        <w:rPr>
          <w:rtl/>
        </w:rPr>
        <w:t>ויתן</w:t>
      </w:r>
      <w:proofErr w:type="spellEnd"/>
      <w:r w:rsidRPr="00E613EB">
        <w:rPr>
          <w:rtl/>
        </w:rPr>
        <w:t xml:space="preserve"> כתובה מפני שנועל בפניה</w:t>
      </w:r>
      <w:r>
        <w:rPr>
          <w:rFonts w:hint="cs"/>
          <w:rtl/>
        </w:rPr>
        <w:t>"</w:t>
      </w:r>
      <w:r w:rsidR="009A2089">
        <w:rPr>
          <w:rFonts w:hint="cs"/>
          <w:rtl/>
        </w:rPr>
        <w:t>;</w:t>
      </w:r>
      <w:r>
        <w:rPr>
          <w:rFonts w:hint="cs"/>
          <w:rtl/>
        </w:rPr>
        <w:t xml:space="preserve"> </w:t>
      </w:r>
      <w:r w:rsidR="009A2089">
        <w:rPr>
          <w:rFonts w:hint="cs"/>
          <w:rtl/>
        </w:rPr>
        <w:t>וכך נימק ה</w:t>
      </w:r>
      <w:r>
        <w:rPr>
          <w:rFonts w:hint="cs"/>
          <w:rtl/>
        </w:rPr>
        <w:t xml:space="preserve">רמב"ם </w:t>
      </w:r>
      <w:r w:rsidR="009A2089">
        <w:rPr>
          <w:rFonts w:hint="cs"/>
          <w:rtl/>
        </w:rPr>
        <w:t>דין זה</w:t>
      </w:r>
      <w:r>
        <w:rPr>
          <w:rFonts w:hint="cs"/>
          <w:rtl/>
        </w:rPr>
        <w:t>: "</w:t>
      </w:r>
      <w:r w:rsidRPr="00E613EB">
        <w:rPr>
          <w:rtl/>
        </w:rPr>
        <w:t xml:space="preserve">המדיר את אשתו שלא תלך לבית האבל ולבית המשתה, או יתיר נדרו או יוציא </w:t>
      </w:r>
      <w:proofErr w:type="spellStart"/>
      <w:r w:rsidRPr="00E613EB">
        <w:rPr>
          <w:rtl/>
        </w:rPr>
        <w:t>ויתן</w:t>
      </w:r>
      <w:proofErr w:type="spellEnd"/>
      <w:r w:rsidRPr="00E613EB">
        <w:rPr>
          <w:rtl/>
        </w:rPr>
        <w:t xml:space="preserve"> כתובה שזה כמי שאסרה בבית הסוהר ונעל בפניה</w:t>
      </w:r>
      <w:r>
        <w:rPr>
          <w:rFonts w:hint="cs"/>
          <w:rtl/>
        </w:rPr>
        <w:t>" (</w:t>
      </w:r>
      <w:r w:rsidR="009A2089">
        <w:rPr>
          <w:rFonts w:hint="cs"/>
          <w:rtl/>
        </w:rPr>
        <w:t xml:space="preserve">משנה תורה, הלכות </w:t>
      </w:r>
      <w:r>
        <w:rPr>
          <w:rFonts w:hint="cs"/>
          <w:rtl/>
        </w:rPr>
        <w:t>אישות</w:t>
      </w:r>
      <w:r w:rsidR="009A2089">
        <w:rPr>
          <w:rFonts w:hint="cs"/>
          <w:rtl/>
        </w:rPr>
        <w:t>, פרק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>,</w:t>
      </w:r>
      <w:r w:rsidR="009A2089">
        <w:rPr>
          <w:rFonts w:hint="cs"/>
          <w:rtl/>
        </w:rPr>
        <w:t xml:space="preserve"> הלכה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>)</w:t>
      </w:r>
      <w:r w:rsidR="009A2089">
        <w:rPr>
          <w:rFonts w:hint="cs"/>
          <w:rtl/>
        </w:rPr>
        <w:t>.</w:t>
      </w:r>
    </w:p>
  </w:endnote>
  <w:endnote w:id="5">
    <w:p w:rsidR="001047FB" w:rsidRDefault="001047FB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Pr="001047FB">
        <w:rPr>
          <w:rtl/>
        </w:rPr>
        <w:t>משנה תורה, הלכות מתנות עניים, פרק ז, הלכה ג</w:t>
      </w:r>
      <w:r>
        <w:rPr>
          <w:rFonts w:hint="cs"/>
          <w:rtl/>
        </w:rPr>
        <w:t>.</w:t>
      </w:r>
    </w:p>
  </w:endnote>
  <w:endnote w:id="6">
    <w:p w:rsidR="00AB6AF5" w:rsidRDefault="00AB6AF5" w:rsidP="00930E8A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930E8A">
        <w:rPr>
          <w:rFonts w:hint="cs"/>
          <w:rtl/>
        </w:rPr>
        <w:t>ראו: משנה תורה, שם</w:t>
      </w:r>
      <w:r>
        <w:rPr>
          <w:rFonts w:hint="cs"/>
          <w:rtl/>
        </w:rPr>
        <w:t>; ספר החינוך</w:t>
      </w:r>
      <w:r w:rsidR="00930E8A">
        <w:rPr>
          <w:rFonts w:hint="cs"/>
          <w:rtl/>
        </w:rPr>
        <w:t>,</w:t>
      </w:r>
      <w:r>
        <w:rPr>
          <w:rFonts w:hint="cs"/>
          <w:rtl/>
        </w:rPr>
        <w:t xml:space="preserve"> מצו</w:t>
      </w:r>
      <w:r w:rsidR="00930E8A">
        <w:rPr>
          <w:rFonts w:hint="cs"/>
          <w:rtl/>
        </w:rPr>
        <w:t>ו</w:t>
      </w:r>
      <w:r>
        <w:rPr>
          <w:rFonts w:hint="cs"/>
          <w:rtl/>
        </w:rPr>
        <w:t xml:space="preserve">ה </w:t>
      </w:r>
      <w:proofErr w:type="spellStart"/>
      <w:r>
        <w:rPr>
          <w:rFonts w:hint="cs"/>
          <w:rtl/>
        </w:rPr>
        <w:t>תעט</w:t>
      </w:r>
      <w:proofErr w:type="spellEnd"/>
      <w:r>
        <w:rPr>
          <w:rFonts w:hint="cs"/>
          <w:rtl/>
        </w:rPr>
        <w:t xml:space="preserve">. לגבי השאלה האם דין 'די מחסורו' נאמר גם </w:t>
      </w:r>
      <w:r w:rsidR="00930E8A">
        <w:rPr>
          <w:rFonts w:hint="cs"/>
          <w:rtl/>
        </w:rPr>
        <w:t xml:space="preserve">לגבי </w:t>
      </w:r>
      <w:r>
        <w:rPr>
          <w:rFonts w:hint="cs"/>
          <w:rtl/>
        </w:rPr>
        <w:t xml:space="preserve">מי שאינו עני, ראו </w:t>
      </w:r>
      <w:r w:rsidRPr="003C0D39">
        <w:rPr>
          <w:rtl/>
        </w:rPr>
        <w:t>חזון איש</w:t>
      </w:r>
      <w:r>
        <w:rPr>
          <w:rFonts w:hint="cs"/>
          <w:rtl/>
        </w:rPr>
        <w:t xml:space="preserve">, </w:t>
      </w:r>
      <w:r w:rsidR="00930E8A">
        <w:rPr>
          <w:rtl/>
        </w:rPr>
        <w:t>ב</w:t>
      </w:r>
      <w:r w:rsidRPr="003C0D39">
        <w:rPr>
          <w:rtl/>
        </w:rPr>
        <w:t>ב</w:t>
      </w:r>
      <w:r w:rsidR="00930E8A">
        <w:rPr>
          <w:rFonts w:hint="cs"/>
          <w:rtl/>
        </w:rPr>
        <w:t xml:space="preserve">א </w:t>
      </w:r>
      <w:proofErr w:type="spellStart"/>
      <w:r w:rsidR="00930E8A">
        <w:rPr>
          <w:rFonts w:hint="cs"/>
          <w:rtl/>
        </w:rPr>
        <w:t>בתרא</w:t>
      </w:r>
      <w:proofErr w:type="spellEnd"/>
      <w:r w:rsidR="00930E8A">
        <w:rPr>
          <w:rFonts w:hint="cs"/>
          <w:rtl/>
        </w:rPr>
        <w:t>,</w:t>
      </w:r>
      <w:r w:rsidR="00930E8A">
        <w:rPr>
          <w:rtl/>
        </w:rPr>
        <w:t xml:space="preserve"> ס</w:t>
      </w:r>
      <w:r w:rsidR="00930E8A">
        <w:rPr>
          <w:rFonts w:hint="cs"/>
          <w:rtl/>
        </w:rPr>
        <w:t>ימן</w:t>
      </w:r>
      <w:r w:rsidRPr="003C0D39">
        <w:rPr>
          <w:rtl/>
        </w:rPr>
        <w:t xml:space="preserve"> א</w:t>
      </w:r>
      <w:r w:rsidR="00930E8A">
        <w:rPr>
          <w:rFonts w:hint="cs"/>
          <w:rtl/>
        </w:rPr>
        <w:t>,</w:t>
      </w:r>
      <w:r w:rsidRPr="003C0D39">
        <w:rPr>
          <w:rtl/>
        </w:rPr>
        <w:t xml:space="preserve"> </w:t>
      </w:r>
      <w:proofErr w:type="spellStart"/>
      <w:r w:rsidRPr="003C0D39">
        <w:rPr>
          <w:rtl/>
        </w:rPr>
        <w:t>ס</w:t>
      </w:r>
      <w:r w:rsidR="00930E8A">
        <w:rPr>
          <w:rFonts w:hint="cs"/>
          <w:rtl/>
        </w:rPr>
        <w:t>"</w:t>
      </w:r>
      <w:r w:rsidR="00930E8A">
        <w:rPr>
          <w:rtl/>
        </w:rPr>
        <w:t>ק</w:t>
      </w:r>
      <w:proofErr w:type="spellEnd"/>
      <w:r w:rsidR="00930E8A">
        <w:rPr>
          <w:rFonts w:hint="cs"/>
          <w:rtl/>
        </w:rPr>
        <w:t xml:space="preserve"> </w:t>
      </w:r>
      <w:r w:rsidRPr="003C0D39">
        <w:rPr>
          <w:rtl/>
        </w:rPr>
        <w:t>ה</w:t>
      </w:r>
      <w:r>
        <w:rPr>
          <w:rFonts w:hint="cs"/>
          <w:rtl/>
        </w:rPr>
        <w:t>.</w:t>
      </w:r>
    </w:p>
  </w:endnote>
  <w:endnote w:id="7">
    <w:p w:rsidR="00A83CEC" w:rsidRDefault="00A83CEC" w:rsidP="00930E8A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שולחן ערוך, יורה דעה, סימן </w:t>
      </w:r>
      <w:proofErr w:type="spellStart"/>
      <w:r>
        <w:rPr>
          <w:rFonts w:hint="cs"/>
          <w:rtl/>
        </w:rPr>
        <w:t>רנ</w:t>
      </w:r>
      <w:proofErr w:type="spellEnd"/>
      <w:r>
        <w:rPr>
          <w:rFonts w:hint="cs"/>
          <w:rtl/>
        </w:rPr>
        <w:t xml:space="preserve">, סעיף א. ראו גם </w:t>
      </w:r>
      <w:proofErr w:type="spellStart"/>
      <w:r>
        <w:rPr>
          <w:rFonts w:hint="cs"/>
          <w:rtl/>
        </w:rPr>
        <w:t>ש"</w:t>
      </w:r>
      <w:r w:rsidR="00930E8A">
        <w:rPr>
          <w:rFonts w:hint="cs"/>
          <w:rtl/>
        </w:rPr>
        <w:t>ך</w:t>
      </w:r>
      <w:proofErr w:type="spellEnd"/>
      <w:r w:rsidR="00930E8A">
        <w:rPr>
          <w:rFonts w:hint="cs"/>
          <w:rtl/>
        </w:rPr>
        <w:t xml:space="preserve"> וביאור </w:t>
      </w:r>
      <w:proofErr w:type="spellStart"/>
      <w:r w:rsidR="00930E8A">
        <w:rPr>
          <w:rFonts w:hint="cs"/>
          <w:rtl/>
        </w:rPr>
        <w:t>הגר"א</w:t>
      </w:r>
      <w:proofErr w:type="spellEnd"/>
      <w:r w:rsidR="00930E8A">
        <w:rPr>
          <w:rFonts w:hint="cs"/>
          <w:rtl/>
        </w:rPr>
        <w:t xml:space="preserve"> על אתר שדנו האם </w:t>
      </w:r>
      <w:r>
        <w:rPr>
          <w:rFonts w:hint="cs"/>
          <w:rtl/>
        </w:rPr>
        <w:t>חובה</w:t>
      </w:r>
      <w:r w:rsidR="00930E8A">
        <w:rPr>
          <w:rFonts w:hint="cs"/>
          <w:rtl/>
        </w:rPr>
        <w:t xml:space="preserve"> זו</w:t>
      </w:r>
      <w:r>
        <w:rPr>
          <w:rFonts w:hint="cs"/>
          <w:rtl/>
        </w:rPr>
        <w:t xml:space="preserve"> מוטלת רק על הציבור או גם על יחידים שיש בידם לסייע ליחידים אחרים.</w:t>
      </w:r>
    </w:p>
  </w:endnote>
  <w:endnote w:id="8">
    <w:p w:rsidR="004B3635" w:rsidRDefault="004B3635" w:rsidP="009A208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9A2089">
        <w:rPr>
          <w:rFonts w:hint="cs"/>
          <w:rtl/>
        </w:rPr>
        <w:t>כעין מה שמצאנו לגבי צדקה,</w:t>
      </w:r>
      <w:r>
        <w:rPr>
          <w:rFonts w:hint="cs"/>
          <w:rtl/>
        </w:rPr>
        <w:t xml:space="preserve"> ש</w:t>
      </w:r>
      <w:r w:rsidR="009A2089">
        <w:rPr>
          <w:rFonts w:hint="cs"/>
          <w:rtl/>
        </w:rPr>
        <w:t>בה</w:t>
      </w:r>
      <w:r>
        <w:rPr>
          <w:rFonts w:hint="cs"/>
          <w:rtl/>
        </w:rPr>
        <w:t xml:space="preserve"> </w:t>
      </w:r>
      <w:r w:rsidR="009A2089">
        <w:rPr>
          <w:rFonts w:hint="cs"/>
          <w:rtl/>
        </w:rPr>
        <w:t xml:space="preserve">כאשר </w:t>
      </w:r>
      <w:r>
        <w:rPr>
          <w:rFonts w:hint="cs"/>
          <w:rtl/>
        </w:rPr>
        <w:t>הדבר אפשרי וסביר</w:t>
      </w:r>
      <w:r w:rsidR="009A2089">
        <w:rPr>
          <w:rFonts w:hint="cs"/>
          <w:rtl/>
        </w:rPr>
        <w:t>,</w:t>
      </w:r>
      <w:r>
        <w:rPr>
          <w:rFonts w:hint="cs"/>
          <w:rtl/>
        </w:rPr>
        <w:t xml:space="preserve"> חובה על גבא</w:t>
      </w:r>
      <w:r w:rsidR="009A2089">
        <w:rPr>
          <w:rFonts w:hint="cs"/>
          <w:rtl/>
        </w:rPr>
        <w:t>ֵ</w:t>
      </w:r>
      <w:r>
        <w:rPr>
          <w:rFonts w:hint="cs"/>
          <w:rtl/>
        </w:rPr>
        <w:t xml:space="preserve">י הצדקה לבדוק האם המקבלים אכן </w:t>
      </w:r>
      <w:r w:rsidR="009A2089">
        <w:rPr>
          <w:rFonts w:hint="cs"/>
          <w:rtl/>
        </w:rPr>
        <w:t xml:space="preserve">זקוקים לצדקה. ראו: בבא </w:t>
      </w:r>
      <w:proofErr w:type="spellStart"/>
      <w:r>
        <w:rPr>
          <w:rFonts w:hint="cs"/>
          <w:rtl/>
        </w:rPr>
        <w:t>ב</w:t>
      </w:r>
      <w:r w:rsidR="009A2089">
        <w:rPr>
          <w:rFonts w:hint="cs"/>
          <w:rtl/>
        </w:rPr>
        <w:t>תרא</w:t>
      </w:r>
      <w:proofErr w:type="spellEnd"/>
      <w:r w:rsidR="009A2089">
        <w:rPr>
          <w:rFonts w:hint="cs"/>
          <w:rtl/>
        </w:rPr>
        <w:t xml:space="preserve"> ט ע"א;</w:t>
      </w:r>
      <w:r>
        <w:rPr>
          <w:rFonts w:hint="cs"/>
          <w:rtl/>
        </w:rPr>
        <w:t xml:space="preserve"> </w:t>
      </w:r>
      <w:r w:rsidR="009A2089">
        <w:rPr>
          <w:rFonts w:hint="cs"/>
          <w:rtl/>
        </w:rPr>
        <w:t>משנה תורה, הלכות</w:t>
      </w:r>
      <w:r>
        <w:rPr>
          <w:rFonts w:hint="cs"/>
          <w:rtl/>
        </w:rPr>
        <w:t xml:space="preserve"> מתנות עניים</w:t>
      </w:r>
      <w:r w:rsidR="009A2089">
        <w:rPr>
          <w:rFonts w:hint="cs"/>
          <w:rtl/>
        </w:rPr>
        <w:t xml:space="preserve">, פרק ו, הלכה ז; </w:t>
      </w:r>
      <w:r>
        <w:rPr>
          <w:rFonts w:hint="cs"/>
          <w:rtl/>
        </w:rPr>
        <w:t>שולחן ערוך</w:t>
      </w:r>
      <w:r w:rsidR="009A2089">
        <w:rPr>
          <w:rFonts w:hint="cs"/>
          <w:rtl/>
        </w:rPr>
        <w:t xml:space="preserve">, יורה </w:t>
      </w:r>
      <w:r>
        <w:rPr>
          <w:rFonts w:hint="cs"/>
          <w:rtl/>
        </w:rPr>
        <w:t>ד</w:t>
      </w:r>
      <w:r w:rsidR="009A2089">
        <w:rPr>
          <w:rFonts w:hint="cs"/>
          <w:rtl/>
        </w:rPr>
        <w:t>עה, סימן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רנא</w:t>
      </w:r>
      <w:proofErr w:type="spellEnd"/>
      <w:r>
        <w:rPr>
          <w:rFonts w:hint="cs"/>
          <w:rtl/>
        </w:rPr>
        <w:t>,</w:t>
      </w:r>
      <w:r w:rsidR="009A2089">
        <w:rPr>
          <w:rFonts w:hint="cs"/>
          <w:rtl/>
        </w:rPr>
        <w:t xml:space="preserve"> סעיף</w:t>
      </w:r>
      <w:r>
        <w:rPr>
          <w:rFonts w:hint="cs"/>
          <w:rtl/>
        </w:rPr>
        <w:t xml:space="preserve"> א.</w:t>
      </w:r>
    </w:p>
  </w:endnote>
  <w:endnote w:id="9">
    <w:p w:rsidR="004A5F33" w:rsidRDefault="004A5F33" w:rsidP="009A208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מצב זה קרוי בהלכה 'זה נהנה וזה חסר'. המפרשים התלבטו האם </w:t>
      </w:r>
      <w:r w:rsidR="00206817">
        <w:rPr>
          <w:rFonts w:hint="cs"/>
          <w:rtl/>
        </w:rPr>
        <w:t xml:space="preserve">האיסור </w:t>
      </w:r>
      <w:r w:rsidR="009A2089">
        <w:rPr>
          <w:rFonts w:hint="cs"/>
          <w:rtl/>
        </w:rPr>
        <w:t>(</w:t>
      </w:r>
      <w:r w:rsidR="00206817">
        <w:rPr>
          <w:rFonts w:hint="cs"/>
          <w:rtl/>
        </w:rPr>
        <w:t xml:space="preserve">ולפיכך </w:t>
      </w:r>
      <w:r>
        <w:rPr>
          <w:rFonts w:hint="cs"/>
          <w:rtl/>
        </w:rPr>
        <w:t>החיוב</w:t>
      </w:r>
      <w:r w:rsidR="009A2089">
        <w:rPr>
          <w:rFonts w:hint="cs"/>
          <w:rtl/>
        </w:rPr>
        <w:t>)</w:t>
      </w:r>
      <w:r>
        <w:rPr>
          <w:rFonts w:hint="cs"/>
          <w:rtl/>
        </w:rPr>
        <w:t xml:space="preserve"> נובע מראיית ה</w:t>
      </w:r>
      <w:r w:rsidR="00206817">
        <w:rPr>
          <w:rFonts w:hint="cs"/>
          <w:rtl/>
        </w:rPr>
        <w:t>נהנה</w:t>
      </w:r>
      <w:r>
        <w:rPr>
          <w:rFonts w:hint="cs"/>
          <w:rtl/>
        </w:rPr>
        <w:t xml:space="preserve"> כמזיק, </w:t>
      </w:r>
      <w:r w:rsidR="009A2089">
        <w:rPr>
          <w:rFonts w:hint="cs"/>
          <w:rtl/>
        </w:rPr>
        <w:t>כ</w:t>
      </w:r>
      <w:r>
        <w:rPr>
          <w:rFonts w:hint="cs"/>
          <w:rtl/>
        </w:rPr>
        <w:t xml:space="preserve">גזלן, או </w:t>
      </w:r>
      <w:r w:rsidR="009A2089">
        <w:rPr>
          <w:rFonts w:hint="cs"/>
          <w:rtl/>
        </w:rPr>
        <w:t>כמחזיק בנכס שאינו שלו. ראו</w:t>
      </w:r>
      <w:r w:rsidR="00206817">
        <w:rPr>
          <w:rFonts w:hint="cs"/>
          <w:rtl/>
        </w:rPr>
        <w:t xml:space="preserve"> הרב יהונתן בלס, עשיית עושר ולא במשפט, </w:t>
      </w:r>
      <w:r w:rsidR="009A2089">
        <w:rPr>
          <w:rFonts w:hint="cs"/>
          <w:rtl/>
        </w:rPr>
        <w:t>ירושלים</w:t>
      </w:r>
      <w:r w:rsidR="00206817">
        <w:rPr>
          <w:rFonts w:hint="cs"/>
          <w:rtl/>
        </w:rPr>
        <w:t xml:space="preserve"> תשנ"ב, עמ'</w:t>
      </w:r>
      <w:r w:rsidR="009A2089">
        <w:rPr>
          <w:rFonts w:hint="cs"/>
          <w:rtl/>
        </w:rPr>
        <w:t xml:space="preserve"> 15</w:t>
      </w:r>
      <w:r w:rsidR="009A2089">
        <w:rPr>
          <w:rtl/>
        </w:rPr>
        <w:t>–</w:t>
      </w:r>
      <w:r w:rsidR="009A2089">
        <w:rPr>
          <w:rFonts w:hint="cs"/>
          <w:rtl/>
        </w:rPr>
        <w:t>19</w:t>
      </w:r>
      <w:r w:rsidR="00206817">
        <w:rPr>
          <w:rFonts w:hint="cs"/>
          <w:rtl/>
        </w:rPr>
        <w:t>.</w:t>
      </w:r>
    </w:p>
  </w:endnote>
  <w:endnote w:id="10">
    <w:p w:rsidR="004D6C03" w:rsidRDefault="004D6C03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9A2089">
        <w:rPr>
          <w:rFonts w:hint="cs"/>
          <w:rtl/>
        </w:rPr>
        <w:t xml:space="preserve">משנה תורה, </w:t>
      </w:r>
      <w:r>
        <w:rPr>
          <w:rFonts w:hint="cs"/>
          <w:rtl/>
        </w:rPr>
        <w:t>הלכות מלכים</w:t>
      </w:r>
      <w:r w:rsidR="009A2089">
        <w:rPr>
          <w:rFonts w:hint="cs"/>
          <w:rtl/>
        </w:rPr>
        <w:t>,</w:t>
      </w:r>
      <w:r>
        <w:rPr>
          <w:rFonts w:hint="cs"/>
          <w:rtl/>
        </w:rPr>
        <w:t xml:space="preserve"> פ</w:t>
      </w:r>
      <w:r w:rsidR="009A2089">
        <w:rPr>
          <w:rFonts w:hint="cs"/>
          <w:rtl/>
        </w:rPr>
        <w:t xml:space="preserve">רק ד, הלכה </w:t>
      </w:r>
      <w:r>
        <w:rPr>
          <w:rFonts w:hint="cs"/>
          <w:rtl/>
        </w:rPr>
        <w:t>י</w:t>
      </w:r>
      <w:r w:rsidR="009A2089">
        <w:rPr>
          <w:rFonts w:hint="cs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EB" w:rsidRDefault="00E613EB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004FC9" wp14:editId="6801A736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777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>
      <w:rPr>
        <w:rFonts w:cs="Guttman Keren"/>
        <w:b/>
        <w:bCs/>
        <w:color w:val="365F91"/>
        <w:spacing w:val="-10"/>
        <w:rtl/>
      </w:rPr>
      <w:t xml:space="preserve">         </w:t>
    </w:r>
    <w:r>
      <w:rPr>
        <w:rFonts w:cs="Guttman Keren"/>
        <w:b/>
        <w:bCs/>
        <w:color w:val="365F91"/>
        <w:spacing w:val="-10"/>
        <w:rtl/>
      </w:rPr>
      <w:t>-----</w:t>
    </w:r>
  </w:p>
  <w:p w:rsidR="00E613EB" w:rsidRPr="00E55679" w:rsidRDefault="00E613EB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:rsidR="00E613EB" w:rsidRPr="00E55679" w:rsidRDefault="008659FC" w:rsidP="00B57B41">
    <w:pPr>
      <w:jc w:val="center"/>
      <w:rPr>
        <w:rFonts w:cs="Guttman Keren"/>
        <w:b/>
        <w:bCs/>
        <w:color w:val="365F91"/>
        <w:spacing w:val="8"/>
        <w:sz w:val="24"/>
        <w:szCs w:val="24"/>
        <w:rtl/>
      </w:rPr>
    </w:pPr>
    <w:hyperlink r:id="rId1" w:history="1">
      <w:r w:rsidR="00E613EB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E613EB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E613EB" w:rsidRPr="00175902">
      <w:rPr>
        <w:rFonts w:cs="Guttman Keren"/>
        <w:b/>
        <w:bCs/>
        <w:color w:val="365F91"/>
        <w:spacing w:val="8"/>
        <w:sz w:val="24"/>
        <w:szCs w:val="24"/>
        <w:rtl/>
      </w:rPr>
      <w:t xml:space="preserve">     </w:t>
    </w:r>
    <w:proofErr w:type="spellStart"/>
    <w:r w:rsidR="00E613EB" w:rsidRPr="00E55679">
      <w:rPr>
        <w:rFonts w:cs="Guttman Keren"/>
        <w:b/>
        <w:bCs/>
        <w:color w:val="365F91"/>
        <w:spacing w:val="8"/>
        <w:sz w:val="24"/>
        <w:szCs w:val="24"/>
        <w:rtl/>
      </w:rPr>
      <w:t>צהר</w:t>
    </w:r>
    <w:proofErr w:type="spellEnd"/>
    <w:r w:rsidR="00E613EB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 </w:t>
    </w:r>
    <w:r w:rsidR="00E613EB">
      <w:rPr>
        <w:rFonts w:cs="Guttman Keren"/>
        <w:b/>
        <w:bCs/>
        <w:color w:val="365F91"/>
        <w:spacing w:val="8"/>
        <w:sz w:val="24"/>
        <w:szCs w:val="24"/>
        <w:rtl/>
      </w:rPr>
      <w:t>לחקיקה</w:t>
    </w:r>
    <w:r w:rsidR="00E613EB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: </w:t>
    </w:r>
    <w:r w:rsidR="00E613EB">
      <w:rPr>
        <w:rFonts w:cs="Guttman Keren"/>
        <w:b/>
        <w:bCs/>
        <w:color w:val="365F91"/>
        <w:spacing w:val="8"/>
        <w:sz w:val="24"/>
        <w:szCs w:val="24"/>
      </w:rPr>
      <w:t>Ganzel</w:t>
    </w:r>
    <w:r w:rsidR="00E613EB" w:rsidRPr="00E55679">
      <w:rPr>
        <w:rFonts w:cs="Guttman Keren"/>
        <w:b/>
        <w:bCs/>
        <w:color w:val="365F91"/>
        <w:spacing w:val="8"/>
        <w:sz w:val="24"/>
        <w:szCs w:val="24"/>
      </w:rPr>
      <w:t>@tzohar.org.il</w:t>
    </w:r>
  </w:p>
  <w:p w:rsidR="00E613EB" w:rsidRPr="00E55679" w:rsidRDefault="00E613EB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9FC" w:rsidRDefault="008659FC">
      <w:r>
        <w:separator/>
      </w:r>
    </w:p>
  </w:footnote>
  <w:footnote w:type="continuationSeparator" w:id="0">
    <w:p w:rsidR="008659FC" w:rsidRDefault="0086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EB" w:rsidRDefault="00E613EB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:rsidR="00E613EB" w:rsidRDefault="00E613EB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EB" w:rsidRPr="00A81E14" w:rsidRDefault="00E613EB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34269DC" wp14:editId="35E3F184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3EB" w:rsidRDefault="00E613EB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:rsidR="00E613EB" w:rsidRPr="00E55679" w:rsidRDefault="00E613EB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:rsidR="00E613EB" w:rsidRDefault="00E613EB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:rsidR="00E613EB" w:rsidRDefault="00E613EB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הר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:rsidR="00E613EB" w:rsidRPr="00E55679" w:rsidRDefault="00E613EB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:rsidR="00E613EB" w:rsidRDefault="00E613EB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B53192" wp14:editId="363B4EA2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8C7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9776" behindDoc="0" locked="0" layoutInCell="1" allowOverlap="1" wp14:anchorId="1C447738" wp14:editId="099E5512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8752" behindDoc="0" locked="0" layoutInCell="1" allowOverlap="1" wp14:anchorId="1A325015" wp14:editId="1737067B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7" w15:restartNumberingAfterBreak="0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21374E"/>
    <w:multiLevelType w:val="hybridMultilevel"/>
    <w:tmpl w:val="89DAFAFA"/>
    <w:lvl w:ilvl="0" w:tplc="A1D85A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8" w15:restartNumberingAfterBreak="0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 w15:restartNumberingAfterBreak="0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19"/>
  </w:num>
  <w:num w:numId="5">
    <w:abstractNumId w:val="2"/>
  </w:num>
  <w:num w:numId="6">
    <w:abstractNumId w:val="18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31"/>
  </w:num>
  <w:num w:numId="12">
    <w:abstractNumId w:val="14"/>
  </w:num>
  <w:num w:numId="13">
    <w:abstractNumId w:val="33"/>
  </w:num>
  <w:num w:numId="14">
    <w:abstractNumId w:val="29"/>
  </w:num>
  <w:num w:numId="15">
    <w:abstractNumId w:val="10"/>
  </w:num>
  <w:num w:numId="16">
    <w:abstractNumId w:val="7"/>
  </w:num>
  <w:num w:numId="17">
    <w:abstractNumId w:val="20"/>
  </w:num>
  <w:num w:numId="18">
    <w:abstractNumId w:val="22"/>
  </w:num>
  <w:num w:numId="19">
    <w:abstractNumId w:val="17"/>
  </w:num>
  <w:num w:numId="20">
    <w:abstractNumId w:val="5"/>
  </w:num>
  <w:num w:numId="21">
    <w:abstractNumId w:val="9"/>
  </w:num>
  <w:num w:numId="22">
    <w:abstractNumId w:val="4"/>
  </w:num>
  <w:num w:numId="23">
    <w:abstractNumId w:val="30"/>
  </w:num>
  <w:num w:numId="24">
    <w:abstractNumId w:val="21"/>
  </w:num>
  <w:num w:numId="25">
    <w:abstractNumId w:val="15"/>
  </w:num>
  <w:num w:numId="26">
    <w:abstractNumId w:val="26"/>
  </w:num>
  <w:num w:numId="27">
    <w:abstractNumId w:val="8"/>
  </w:num>
  <w:num w:numId="28">
    <w:abstractNumId w:val="34"/>
  </w:num>
  <w:num w:numId="29">
    <w:abstractNumId w:val="11"/>
  </w:num>
  <w:num w:numId="30">
    <w:abstractNumId w:val="35"/>
  </w:num>
  <w:num w:numId="31">
    <w:abstractNumId w:val="32"/>
  </w:num>
  <w:num w:numId="32">
    <w:abstractNumId w:val="0"/>
  </w:num>
  <w:num w:numId="33">
    <w:abstractNumId w:val="6"/>
  </w:num>
  <w:num w:numId="34">
    <w:abstractNumId w:val="27"/>
  </w:num>
  <w:num w:numId="35">
    <w:abstractNumId w:val="12"/>
  </w:num>
  <w:num w:numId="36">
    <w:abstractNumId w:val="3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1C"/>
    <w:rsid w:val="0000267A"/>
    <w:rsid w:val="0001496B"/>
    <w:rsid w:val="00022AF4"/>
    <w:rsid w:val="00027EB6"/>
    <w:rsid w:val="00036B4D"/>
    <w:rsid w:val="0005412E"/>
    <w:rsid w:val="000756B2"/>
    <w:rsid w:val="00075E20"/>
    <w:rsid w:val="00080161"/>
    <w:rsid w:val="0008360E"/>
    <w:rsid w:val="0008394C"/>
    <w:rsid w:val="000842F6"/>
    <w:rsid w:val="000903A3"/>
    <w:rsid w:val="000949AD"/>
    <w:rsid w:val="000A33E2"/>
    <w:rsid w:val="000A70BC"/>
    <w:rsid w:val="000B09C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47FB"/>
    <w:rsid w:val="00107B9B"/>
    <w:rsid w:val="00110009"/>
    <w:rsid w:val="00114F54"/>
    <w:rsid w:val="001236B6"/>
    <w:rsid w:val="00126278"/>
    <w:rsid w:val="00126F03"/>
    <w:rsid w:val="001273D3"/>
    <w:rsid w:val="00137408"/>
    <w:rsid w:val="00142BFA"/>
    <w:rsid w:val="001525AD"/>
    <w:rsid w:val="00160D00"/>
    <w:rsid w:val="001676BA"/>
    <w:rsid w:val="0017536C"/>
    <w:rsid w:val="00175902"/>
    <w:rsid w:val="00176A7E"/>
    <w:rsid w:val="00182988"/>
    <w:rsid w:val="00192176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6B2B"/>
    <w:rsid w:val="00202C6F"/>
    <w:rsid w:val="00206817"/>
    <w:rsid w:val="002108CF"/>
    <w:rsid w:val="00210E16"/>
    <w:rsid w:val="00213587"/>
    <w:rsid w:val="002152EF"/>
    <w:rsid w:val="0021631E"/>
    <w:rsid w:val="002303E5"/>
    <w:rsid w:val="0023112D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7085"/>
    <w:rsid w:val="00287788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D7C01"/>
    <w:rsid w:val="002E4828"/>
    <w:rsid w:val="002E5D8D"/>
    <w:rsid w:val="002E7FC6"/>
    <w:rsid w:val="002F07B6"/>
    <w:rsid w:val="002F5045"/>
    <w:rsid w:val="003007EC"/>
    <w:rsid w:val="003021AE"/>
    <w:rsid w:val="00311696"/>
    <w:rsid w:val="00311A6B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0A1D"/>
    <w:rsid w:val="0036732B"/>
    <w:rsid w:val="00367D14"/>
    <w:rsid w:val="00375703"/>
    <w:rsid w:val="00383943"/>
    <w:rsid w:val="00391376"/>
    <w:rsid w:val="0039560E"/>
    <w:rsid w:val="00396A89"/>
    <w:rsid w:val="003A09B1"/>
    <w:rsid w:val="003A2265"/>
    <w:rsid w:val="003B339E"/>
    <w:rsid w:val="003C0419"/>
    <w:rsid w:val="003C0FB5"/>
    <w:rsid w:val="003C121A"/>
    <w:rsid w:val="003C1CC1"/>
    <w:rsid w:val="003C3363"/>
    <w:rsid w:val="003D30AA"/>
    <w:rsid w:val="003E28E3"/>
    <w:rsid w:val="003E2EBE"/>
    <w:rsid w:val="003E4627"/>
    <w:rsid w:val="003F10E8"/>
    <w:rsid w:val="003F6BE1"/>
    <w:rsid w:val="0041121B"/>
    <w:rsid w:val="0041595D"/>
    <w:rsid w:val="0041684D"/>
    <w:rsid w:val="00422A8B"/>
    <w:rsid w:val="00430BFE"/>
    <w:rsid w:val="00444ED5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5F33"/>
    <w:rsid w:val="004A6145"/>
    <w:rsid w:val="004B3635"/>
    <w:rsid w:val="004B5059"/>
    <w:rsid w:val="004B57CD"/>
    <w:rsid w:val="004C2370"/>
    <w:rsid w:val="004C2827"/>
    <w:rsid w:val="004D0937"/>
    <w:rsid w:val="004D3567"/>
    <w:rsid w:val="004D5D6B"/>
    <w:rsid w:val="004D6488"/>
    <w:rsid w:val="004D6C03"/>
    <w:rsid w:val="004E17E3"/>
    <w:rsid w:val="004E2ECB"/>
    <w:rsid w:val="004E43BA"/>
    <w:rsid w:val="004E4A57"/>
    <w:rsid w:val="004F293A"/>
    <w:rsid w:val="004F664D"/>
    <w:rsid w:val="005166CC"/>
    <w:rsid w:val="005230EE"/>
    <w:rsid w:val="005271D3"/>
    <w:rsid w:val="00542FFA"/>
    <w:rsid w:val="00543382"/>
    <w:rsid w:val="00547EA0"/>
    <w:rsid w:val="00562678"/>
    <w:rsid w:val="00567A52"/>
    <w:rsid w:val="00567B61"/>
    <w:rsid w:val="00570A15"/>
    <w:rsid w:val="005724CB"/>
    <w:rsid w:val="005760EF"/>
    <w:rsid w:val="005764B5"/>
    <w:rsid w:val="00581B41"/>
    <w:rsid w:val="005954E0"/>
    <w:rsid w:val="005A4583"/>
    <w:rsid w:val="005A79E2"/>
    <w:rsid w:val="005D0361"/>
    <w:rsid w:val="005D45A5"/>
    <w:rsid w:val="005D6B80"/>
    <w:rsid w:val="005E0A03"/>
    <w:rsid w:val="005E3A0F"/>
    <w:rsid w:val="005F1A3C"/>
    <w:rsid w:val="005F4C8E"/>
    <w:rsid w:val="006010EA"/>
    <w:rsid w:val="00606B1C"/>
    <w:rsid w:val="0060721D"/>
    <w:rsid w:val="006138AE"/>
    <w:rsid w:val="006201EB"/>
    <w:rsid w:val="00620F7D"/>
    <w:rsid w:val="00622980"/>
    <w:rsid w:val="00625BF1"/>
    <w:rsid w:val="006268A1"/>
    <w:rsid w:val="00626A36"/>
    <w:rsid w:val="00631452"/>
    <w:rsid w:val="00631E85"/>
    <w:rsid w:val="00632942"/>
    <w:rsid w:val="00637E05"/>
    <w:rsid w:val="00641B1C"/>
    <w:rsid w:val="006527FA"/>
    <w:rsid w:val="00670E3E"/>
    <w:rsid w:val="00673688"/>
    <w:rsid w:val="00675486"/>
    <w:rsid w:val="00692A0C"/>
    <w:rsid w:val="00693335"/>
    <w:rsid w:val="00694D0E"/>
    <w:rsid w:val="006A00EA"/>
    <w:rsid w:val="006A3575"/>
    <w:rsid w:val="006A3EF2"/>
    <w:rsid w:val="006B2769"/>
    <w:rsid w:val="006D6486"/>
    <w:rsid w:val="006D6EDE"/>
    <w:rsid w:val="006D7214"/>
    <w:rsid w:val="006D7EF7"/>
    <w:rsid w:val="006E0214"/>
    <w:rsid w:val="006E0C59"/>
    <w:rsid w:val="006E7CC3"/>
    <w:rsid w:val="006F1D6E"/>
    <w:rsid w:val="006F78FD"/>
    <w:rsid w:val="0070537D"/>
    <w:rsid w:val="00705EE9"/>
    <w:rsid w:val="007134E8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ED1"/>
    <w:rsid w:val="007639EF"/>
    <w:rsid w:val="00785415"/>
    <w:rsid w:val="007A6293"/>
    <w:rsid w:val="007C3E2B"/>
    <w:rsid w:val="007D15DE"/>
    <w:rsid w:val="007D2829"/>
    <w:rsid w:val="007D6E1F"/>
    <w:rsid w:val="007E647D"/>
    <w:rsid w:val="007F44D8"/>
    <w:rsid w:val="008120E6"/>
    <w:rsid w:val="00820C8E"/>
    <w:rsid w:val="0082488A"/>
    <w:rsid w:val="008419DA"/>
    <w:rsid w:val="00842E88"/>
    <w:rsid w:val="00854BCF"/>
    <w:rsid w:val="00855EEB"/>
    <w:rsid w:val="008659FC"/>
    <w:rsid w:val="00867D31"/>
    <w:rsid w:val="00882AF4"/>
    <w:rsid w:val="00882D6B"/>
    <w:rsid w:val="008902BB"/>
    <w:rsid w:val="00891003"/>
    <w:rsid w:val="008B092A"/>
    <w:rsid w:val="008B1832"/>
    <w:rsid w:val="008C4B98"/>
    <w:rsid w:val="008C4FC8"/>
    <w:rsid w:val="008C6383"/>
    <w:rsid w:val="008D1190"/>
    <w:rsid w:val="008D11D1"/>
    <w:rsid w:val="008D234D"/>
    <w:rsid w:val="008D7AB3"/>
    <w:rsid w:val="008E2D99"/>
    <w:rsid w:val="008E5195"/>
    <w:rsid w:val="008E7A03"/>
    <w:rsid w:val="008F1048"/>
    <w:rsid w:val="008F2AEC"/>
    <w:rsid w:val="00902461"/>
    <w:rsid w:val="00930E8A"/>
    <w:rsid w:val="009311AE"/>
    <w:rsid w:val="00932750"/>
    <w:rsid w:val="00935570"/>
    <w:rsid w:val="00940F3E"/>
    <w:rsid w:val="00944D2F"/>
    <w:rsid w:val="00952D0C"/>
    <w:rsid w:val="00954011"/>
    <w:rsid w:val="00955CD0"/>
    <w:rsid w:val="00962E1C"/>
    <w:rsid w:val="0096415F"/>
    <w:rsid w:val="0096454B"/>
    <w:rsid w:val="00967009"/>
    <w:rsid w:val="00972296"/>
    <w:rsid w:val="0097335B"/>
    <w:rsid w:val="0097579C"/>
    <w:rsid w:val="009849B9"/>
    <w:rsid w:val="009863FF"/>
    <w:rsid w:val="009A060E"/>
    <w:rsid w:val="009A066B"/>
    <w:rsid w:val="009A2089"/>
    <w:rsid w:val="009B2487"/>
    <w:rsid w:val="009B5591"/>
    <w:rsid w:val="009C0C6D"/>
    <w:rsid w:val="009C0F37"/>
    <w:rsid w:val="009C3947"/>
    <w:rsid w:val="009D3E7B"/>
    <w:rsid w:val="009D4EE8"/>
    <w:rsid w:val="009E08A2"/>
    <w:rsid w:val="009E39F0"/>
    <w:rsid w:val="009F4EF4"/>
    <w:rsid w:val="009F4F0E"/>
    <w:rsid w:val="009F6DDA"/>
    <w:rsid w:val="00A009A1"/>
    <w:rsid w:val="00A03761"/>
    <w:rsid w:val="00A0545A"/>
    <w:rsid w:val="00A10034"/>
    <w:rsid w:val="00A13B2D"/>
    <w:rsid w:val="00A20B2F"/>
    <w:rsid w:val="00A2442F"/>
    <w:rsid w:val="00A26919"/>
    <w:rsid w:val="00A323F4"/>
    <w:rsid w:val="00A33791"/>
    <w:rsid w:val="00A438C6"/>
    <w:rsid w:val="00A4470B"/>
    <w:rsid w:val="00A548D5"/>
    <w:rsid w:val="00A5786D"/>
    <w:rsid w:val="00A60B1E"/>
    <w:rsid w:val="00A62A57"/>
    <w:rsid w:val="00A65DA8"/>
    <w:rsid w:val="00A72CDE"/>
    <w:rsid w:val="00A81E14"/>
    <w:rsid w:val="00A83352"/>
    <w:rsid w:val="00A83CEC"/>
    <w:rsid w:val="00A86C59"/>
    <w:rsid w:val="00AA1E04"/>
    <w:rsid w:val="00AA6B05"/>
    <w:rsid w:val="00AB0DBC"/>
    <w:rsid w:val="00AB40FD"/>
    <w:rsid w:val="00AB6058"/>
    <w:rsid w:val="00AB6AF5"/>
    <w:rsid w:val="00AC04B5"/>
    <w:rsid w:val="00AC1F80"/>
    <w:rsid w:val="00AD2AB7"/>
    <w:rsid w:val="00AD5DF3"/>
    <w:rsid w:val="00AF2271"/>
    <w:rsid w:val="00AF62DB"/>
    <w:rsid w:val="00B04E45"/>
    <w:rsid w:val="00B1161C"/>
    <w:rsid w:val="00B12284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B32F6"/>
    <w:rsid w:val="00BC10EA"/>
    <w:rsid w:val="00BC6E48"/>
    <w:rsid w:val="00BC7632"/>
    <w:rsid w:val="00BD116E"/>
    <w:rsid w:val="00BE47A7"/>
    <w:rsid w:val="00BE7742"/>
    <w:rsid w:val="00BF52DE"/>
    <w:rsid w:val="00BF5665"/>
    <w:rsid w:val="00C0071D"/>
    <w:rsid w:val="00C06A72"/>
    <w:rsid w:val="00C2659A"/>
    <w:rsid w:val="00C374FF"/>
    <w:rsid w:val="00C40E28"/>
    <w:rsid w:val="00C410BA"/>
    <w:rsid w:val="00C51163"/>
    <w:rsid w:val="00C554A4"/>
    <w:rsid w:val="00C67111"/>
    <w:rsid w:val="00C72C04"/>
    <w:rsid w:val="00C76D27"/>
    <w:rsid w:val="00C77CA0"/>
    <w:rsid w:val="00C831E4"/>
    <w:rsid w:val="00C840CE"/>
    <w:rsid w:val="00C849D8"/>
    <w:rsid w:val="00C91767"/>
    <w:rsid w:val="00CA2F50"/>
    <w:rsid w:val="00CB3A5C"/>
    <w:rsid w:val="00CB7799"/>
    <w:rsid w:val="00CE39DC"/>
    <w:rsid w:val="00CE455D"/>
    <w:rsid w:val="00CE6D42"/>
    <w:rsid w:val="00CF5D85"/>
    <w:rsid w:val="00D0580D"/>
    <w:rsid w:val="00D075E8"/>
    <w:rsid w:val="00D12257"/>
    <w:rsid w:val="00D2549A"/>
    <w:rsid w:val="00D33BC0"/>
    <w:rsid w:val="00D4157C"/>
    <w:rsid w:val="00D41744"/>
    <w:rsid w:val="00D67299"/>
    <w:rsid w:val="00D86EB5"/>
    <w:rsid w:val="00D92345"/>
    <w:rsid w:val="00D95489"/>
    <w:rsid w:val="00DA66D4"/>
    <w:rsid w:val="00DB1328"/>
    <w:rsid w:val="00DB26B2"/>
    <w:rsid w:val="00DB279D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6104"/>
    <w:rsid w:val="00E1234F"/>
    <w:rsid w:val="00E125BA"/>
    <w:rsid w:val="00E14B8A"/>
    <w:rsid w:val="00E20F74"/>
    <w:rsid w:val="00E21C2A"/>
    <w:rsid w:val="00E30805"/>
    <w:rsid w:val="00E3084E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13EB"/>
    <w:rsid w:val="00E62069"/>
    <w:rsid w:val="00E66358"/>
    <w:rsid w:val="00E66C1A"/>
    <w:rsid w:val="00E6738D"/>
    <w:rsid w:val="00E95106"/>
    <w:rsid w:val="00EB47AA"/>
    <w:rsid w:val="00EC5994"/>
    <w:rsid w:val="00ED40FF"/>
    <w:rsid w:val="00ED7881"/>
    <w:rsid w:val="00EE0052"/>
    <w:rsid w:val="00EE3A9C"/>
    <w:rsid w:val="00EE5121"/>
    <w:rsid w:val="00EF1A93"/>
    <w:rsid w:val="00EF5B62"/>
    <w:rsid w:val="00EF68EB"/>
    <w:rsid w:val="00F020E8"/>
    <w:rsid w:val="00F03157"/>
    <w:rsid w:val="00F034E8"/>
    <w:rsid w:val="00F03C0D"/>
    <w:rsid w:val="00F03FF2"/>
    <w:rsid w:val="00F10201"/>
    <w:rsid w:val="00F11141"/>
    <w:rsid w:val="00F21213"/>
    <w:rsid w:val="00F26DC6"/>
    <w:rsid w:val="00F27E2E"/>
    <w:rsid w:val="00F32250"/>
    <w:rsid w:val="00F33278"/>
    <w:rsid w:val="00F3632B"/>
    <w:rsid w:val="00F41A17"/>
    <w:rsid w:val="00F4490C"/>
    <w:rsid w:val="00F47538"/>
    <w:rsid w:val="00F55578"/>
    <w:rsid w:val="00F71460"/>
    <w:rsid w:val="00F7364F"/>
    <w:rsid w:val="00F75976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4D5D"/>
    <w:rsid w:val="00FC56D0"/>
    <w:rsid w:val="00FC6B84"/>
    <w:rsid w:val="00FC7DAF"/>
    <w:rsid w:val="00FD3B54"/>
    <w:rsid w:val="00FE0CC4"/>
    <w:rsid w:val="00FE2EEE"/>
    <w:rsid w:val="00FE3158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6FD554"/>
  <w15:docId w15:val="{079E078C-CE44-48DA-9870-056030D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8DB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spacing w:line="360" w:lineRule="auto"/>
      <w:outlineLvl w:val="2"/>
    </w:pPr>
    <w:rPr>
      <w:rFonts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pPr>
      <w:jc w:val="both"/>
    </w:pPr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uiPriority w:val="99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hAnsi="Arial" w:cs="David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  <w:jc w:val="both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line="360" w:lineRule="auto"/>
      <w:ind w:firstLine="340"/>
      <w:jc w:val="both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hAnsi="Arial" w:cs="David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 w:cs="David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  <w:rPr>
      <w:rFonts w:cs="David"/>
    </w:rPr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175902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82D7-5CFB-42DD-99E8-4223B51A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Baruch Weintraub</cp:lastModifiedBy>
  <cp:revision>3</cp:revision>
  <cp:lastPrinted>2016-02-21T08:13:00Z</cp:lastPrinted>
  <dcterms:created xsi:type="dcterms:W3CDTF">2018-11-18T23:23:00Z</dcterms:created>
  <dcterms:modified xsi:type="dcterms:W3CDTF">2018-11-18T23:23:00Z</dcterms:modified>
</cp:coreProperties>
</file>