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0BB6" w:rsidRDefault="00830BB6" w:rsidP="00830BB6">
      <w:pPr>
        <w:spacing w:line="360" w:lineRule="auto"/>
        <w:jc w:val="center"/>
        <w:rPr>
          <w:rStyle w:val="a8"/>
          <w:rFonts w:ascii="Arial" w:eastAsiaTheme="majorEastAsia" w:hAnsi="Arial" w:cs="Guttman Keren"/>
          <w:b w:val="0"/>
          <w:color w:val="1D5872"/>
          <w:sz w:val="26"/>
          <w:szCs w:val="26"/>
        </w:rPr>
      </w:pPr>
      <w:r>
        <w:rPr>
          <w:rStyle w:val="a8"/>
          <w:rFonts w:ascii="Arial" w:eastAsiaTheme="majorEastAsia" w:hAnsi="Arial" w:cs="Guttman Keren" w:hint="cs"/>
          <w:color w:val="1D5872"/>
          <w:sz w:val="22"/>
          <w:szCs w:val="22"/>
          <w:rtl/>
        </w:rPr>
        <w:t>נייר עמדה</w:t>
      </w:r>
    </w:p>
    <w:p w:rsidR="00830BB6" w:rsidRDefault="00830BB6" w:rsidP="00830BB6">
      <w:pPr>
        <w:spacing w:line="360" w:lineRule="auto"/>
        <w:jc w:val="center"/>
        <w:rPr>
          <w:rStyle w:val="a8"/>
          <w:rFonts w:ascii="Arial" w:eastAsiaTheme="majorEastAsia" w:hAnsi="Arial" w:cs="Guttman Keren"/>
          <w:bCs/>
          <w:color w:val="1D5872"/>
          <w:sz w:val="24"/>
          <w:szCs w:val="24"/>
          <w:rtl/>
        </w:rPr>
      </w:pPr>
      <w:r>
        <w:rPr>
          <w:rStyle w:val="a8"/>
          <w:rFonts w:ascii="Arial" w:eastAsiaTheme="majorEastAsia" w:hAnsi="Arial" w:cs="Guttman Keren" w:hint="cs"/>
          <w:bCs/>
          <w:color w:val="1D5872"/>
          <w:sz w:val="24"/>
          <w:szCs w:val="24"/>
          <w:rtl/>
        </w:rPr>
        <w:t xml:space="preserve">הצעת חוק בתי דין רבניים (קיום פסקי דין של גירושין) </w:t>
      </w:r>
    </w:p>
    <w:p w:rsidR="00830BB6" w:rsidRDefault="00830BB6" w:rsidP="00830BB6">
      <w:pPr>
        <w:spacing w:after="240" w:line="360" w:lineRule="auto"/>
        <w:jc w:val="center"/>
        <w:rPr>
          <w:rStyle w:val="a8"/>
          <w:rFonts w:ascii="Arial" w:eastAsiaTheme="majorEastAsia" w:hAnsi="Arial" w:cs="Guttman Keren"/>
          <w:bCs/>
          <w:color w:val="1D5872"/>
          <w:sz w:val="24"/>
          <w:szCs w:val="24"/>
          <w:rtl/>
        </w:rPr>
      </w:pPr>
      <w:r>
        <w:rPr>
          <w:rStyle w:val="a8"/>
          <w:rFonts w:ascii="Arial" w:eastAsiaTheme="majorEastAsia" w:hAnsi="Arial" w:cs="Guttman Keren" w:hint="cs"/>
          <w:bCs/>
          <w:color w:val="1D5872"/>
          <w:sz w:val="24"/>
          <w:szCs w:val="24"/>
          <w:rtl/>
        </w:rPr>
        <w:t xml:space="preserve">(תיקון – הגבלת זכאות לקבלת סיוע משפטי במימון המדינה לסרבני גט), </w:t>
      </w:r>
      <w:proofErr w:type="spellStart"/>
      <w:r>
        <w:rPr>
          <w:rStyle w:val="a8"/>
          <w:rFonts w:ascii="Arial" w:eastAsiaTheme="majorEastAsia" w:hAnsi="Arial" w:cs="Guttman Keren" w:hint="cs"/>
          <w:bCs/>
          <w:color w:val="1D5872"/>
          <w:sz w:val="24"/>
          <w:szCs w:val="24"/>
          <w:rtl/>
        </w:rPr>
        <w:t>התשע"ח</w:t>
      </w:r>
      <w:proofErr w:type="spellEnd"/>
      <w:r>
        <w:rPr>
          <w:rStyle w:val="a8"/>
          <w:rFonts w:ascii="Arial" w:eastAsiaTheme="majorEastAsia" w:hAnsi="Arial" w:cs="Guttman Keren" w:hint="cs"/>
          <w:bCs/>
          <w:color w:val="1D5872"/>
          <w:sz w:val="24"/>
          <w:szCs w:val="24"/>
          <w:rtl/>
        </w:rPr>
        <w:t>–2018</w:t>
      </w:r>
    </w:p>
    <w:p w:rsidR="00830BB6" w:rsidRDefault="00830BB6" w:rsidP="00830BB6">
      <w:pPr>
        <w:spacing w:after="240" w:line="360" w:lineRule="auto"/>
        <w:rPr>
          <w:rStyle w:val="a8"/>
          <w:rFonts w:ascii="Arial" w:eastAsiaTheme="majorEastAsia" w:hAnsi="Arial" w:cs="Guttman Keren"/>
          <w:bCs/>
          <w:color w:val="1D5872"/>
          <w:sz w:val="24"/>
          <w:szCs w:val="24"/>
          <w:rtl/>
        </w:rPr>
      </w:pPr>
      <w:r>
        <w:rPr>
          <w:rStyle w:val="a8"/>
          <w:rFonts w:ascii="Arial" w:eastAsiaTheme="majorEastAsia" w:hAnsi="Arial" w:cs="Guttman Keren" w:hint="cs"/>
          <w:bCs/>
          <w:color w:val="1D5872"/>
          <w:sz w:val="24"/>
          <w:szCs w:val="24"/>
          <w:rtl/>
        </w:rPr>
        <w:t>מבוא</w:t>
      </w:r>
    </w:p>
    <w:p w:rsidR="00830BB6" w:rsidRDefault="0032260D" w:rsidP="00830BB6">
      <w:pPr>
        <w:spacing w:after="240" w:line="360" w:lineRule="auto"/>
        <w:jc w:val="both"/>
        <w:rPr>
          <w:rFonts w:eastAsiaTheme="majorEastAsia" w:cs="David"/>
          <w:snapToGrid w:val="0"/>
          <w:color w:val="000000"/>
          <w:rtl/>
          <w:lang w:eastAsia="ja-JP"/>
        </w:rPr>
      </w:pPr>
      <w:r>
        <w:rPr>
          <w:rFonts w:cs="David"/>
          <w:snapToGrid w:val="0"/>
          <w:color w:val="000000"/>
          <w:sz w:val="24"/>
          <w:szCs w:val="24"/>
          <w:rtl/>
          <w:lang w:eastAsia="ja-JP"/>
        </w:rPr>
        <w:t>חוק בתי דין רבניים (קיום פסקי דין של גירושין</w:t>
      </w:r>
      <w:r>
        <w:rPr>
          <w:rFonts w:cs="David" w:hint="cs"/>
          <w:snapToGrid w:val="0"/>
          <w:color w:val="000000"/>
          <w:sz w:val="24"/>
          <w:szCs w:val="24"/>
          <w:rtl/>
          <w:lang w:eastAsia="ja-JP"/>
        </w:rPr>
        <w:t>),</w:t>
      </w:r>
      <w:r>
        <w:rPr>
          <w:rFonts w:cs="David"/>
          <w:snapToGrid w:val="0"/>
          <w:color w:val="000000"/>
          <w:sz w:val="24"/>
          <w:szCs w:val="24"/>
          <w:rtl/>
          <w:lang w:eastAsia="ja-JP"/>
        </w:rPr>
        <w:t xml:space="preserve"> </w:t>
      </w:r>
      <w:proofErr w:type="spellStart"/>
      <w:r>
        <w:rPr>
          <w:rFonts w:cs="David"/>
          <w:snapToGrid w:val="0"/>
          <w:color w:val="000000"/>
          <w:sz w:val="24"/>
          <w:szCs w:val="24"/>
          <w:rtl/>
          <w:lang w:eastAsia="ja-JP"/>
        </w:rPr>
        <w:t>התשנ"ה</w:t>
      </w:r>
      <w:proofErr w:type="spellEnd"/>
      <w:r>
        <w:rPr>
          <w:rFonts w:cs="David"/>
          <w:snapToGrid w:val="0"/>
          <w:color w:val="000000"/>
          <w:sz w:val="24"/>
          <w:szCs w:val="24"/>
          <w:rtl/>
          <w:lang w:eastAsia="ja-JP"/>
        </w:rPr>
        <w:t>–1995</w:t>
      </w:r>
      <w:r w:rsidR="00830BB6">
        <w:rPr>
          <w:rFonts w:cs="David"/>
          <w:snapToGrid w:val="0"/>
          <w:color w:val="000000"/>
          <w:sz w:val="24"/>
          <w:szCs w:val="24"/>
          <w:rtl/>
          <w:lang w:eastAsia="ja-JP"/>
        </w:rPr>
        <w:t xml:space="preserve"> נועד לצמצם את התופעה הקשה של סרבנות גט, באמצעות הסמכת בתי הדין הרבניים להטיל צווי הגבלה שונים על סרבני גט. בין היתר מוסמך בית הדין הרבני להגביל את זכותו של סרבן גט לצאת מהארץ, את יכולתו לקבל דרכון ולהחזיק ברישיון נהיגה, ואף להטיל עליו צו מאסר – והכול לפי החלטתו של בית הדין.</w:t>
      </w:r>
    </w:p>
    <w:p w:rsidR="00830BB6" w:rsidRDefault="00830BB6" w:rsidP="0032260D">
      <w:pPr>
        <w:spacing w:after="240" w:line="360" w:lineRule="auto"/>
        <w:jc w:val="both"/>
        <w:rPr>
          <w:rStyle w:val="a8"/>
          <w:rFonts w:eastAsiaTheme="majorEastAsia" w:cs="David"/>
          <w:b w:val="0"/>
          <w:rtl/>
        </w:rPr>
      </w:pPr>
      <w:r>
        <w:rPr>
          <w:rFonts w:cs="David"/>
          <w:snapToGrid w:val="0"/>
          <w:color w:val="000000"/>
          <w:sz w:val="24"/>
          <w:szCs w:val="24"/>
          <w:rtl/>
          <w:lang w:eastAsia="ja-JP"/>
        </w:rPr>
        <w:t xml:space="preserve">הצעת החוק שלפנינו מבקשת להוסיף לרשימת הסנקציות </w:t>
      </w:r>
      <w:r w:rsidR="0032260D">
        <w:rPr>
          <w:rFonts w:cs="David" w:hint="cs"/>
          <w:snapToGrid w:val="0"/>
          <w:color w:val="000000"/>
          <w:sz w:val="24"/>
          <w:szCs w:val="24"/>
          <w:rtl/>
          <w:lang w:eastAsia="ja-JP"/>
        </w:rPr>
        <w:t>ש</w:t>
      </w:r>
      <w:r>
        <w:rPr>
          <w:rFonts w:cs="David"/>
          <w:snapToGrid w:val="0"/>
          <w:color w:val="000000"/>
          <w:sz w:val="24"/>
          <w:szCs w:val="24"/>
          <w:rtl/>
          <w:lang w:eastAsia="ja-JP"/>
        </w:rPr>
        <w:t xml:space="preserve">בהן יכול בית הדין להשתמש גם את </w:t>
      </w:r>
      <w:r>
        <w:rPr>
          <w:rStyle w:val="a8"/>
          <w:rFonts w:eastAsiaTheme="majorEastAsia" w:cs="David"/>
          <w:snapToGrid w:val="0"/>
          <w:color w:val="000000"/>
          <w:sz w:val="24"/>
          <w:szCs w:val="24"/>
          <w:rtl/>
          <w:lang w:eastAsia="ja-JP"/>
        </w:rPr>
        <w:t xml:space="preserve">האפשרות לפרסם ברבים את שמו </w:t>
      </w:r>
      <w:r w:rsidR="0032260D">
        <w:rPr>
          <w:rStyle w:val="a8"/>
          <w:rFonts w:eastAsiaTheme="majorEastAsia" w:cs="David" w:hint="cs"/>
          <w:snapToGrid w:val="0"/>
          <w:color w:val="000000"/>
          <w:sz w:val="24"/>
          <w:szCs w:val="24"/>
          <w:rtl/>
          <w:lang w:eastAsia="ja-JP"/>
        </w:rPr>
        <w:t xml:space="preserve">של סרבן גט </w:t>
      </w:r>
      <w:r>
        <w:rPr>
          <w:rStyle w:val="a8"/>
          <w:rFonts w:eastAsiaTheme="majorEastAsia" w:cs="David"/>
          <w:snapToGrid w:val="0"/>
          <w:color w:val="000000"/>
          <w:sz w:val="24"/>
          <w:szCs w:val="24"/>
          <w:rtl/>
          <w:lang w:eastAsia="ja-JP"/>
        </w:rPr>
        <w:t>ו</w:t>
      </w:r>
      <w:r w:rsidR="0032260D">
        <w:rPr>
          <w:rStyle w:val="a8"/>
          <w:rFonts w:eastAsiaTheme="majorEastAsia" w:cs="David" w:hint="cs"/>
          <w:snapToGrid w:val="0"/>
          <w:color w:val="000000"/>
          <w:sz w:val="24"/>
          <w:szCs w:val="24"/>
          <w:rtl/>
          <w:lang w:eastAsia="ja-JP"/>
        </w:rPr>
        <w:t xml:space="preserve">את </w:t>
      </w:r>
      <w:r>
        <w:rPr>
          <w:rStyle w:val="a8"/>
          <w:rFonts w:eastAsiaTheme="majorEastAsia" w:cs="David"/>
          <w:snapToGrid w:val="0"/>
          <w:color w:val="000000"/>
          <w:sz w:val="24"/>
          <w:szCs w:val="24"/>
          <w:rtl/>
          <w:lang w:eastAsia="ja-JP"/>
        </w:rPr>
        <w:t xml:space="preserve">תמונתו </w:t>
      </w:r>
      <w:r w:rsidR="007C676A">
        <w:rPr>
          <w:rStyle w:val="a8"/>
          <w:rFonts w:eastAsiaTheme="majorEastAsia" w:cs="David"/>
          <w:snapToGrid w:val="0"/>
          <w:color w:val="000000"/>
          <w:sz w:val="24"/>
          <w:szCs w:val="24"/>
          <w:rtl/>
          <w:lang w:eastAsia="ja-JP"/>
        </w:rPr>
        <w:t>–</w:t>
      </w:r>
      <w:r w:rsidR="007C676A">
        <w:rPr>
          <w:rStyle w:val="a8"/>
          <w:rFonts w:eastAsiaTheme="majorEastAsia" w:cs="David" w:hint="cs"/>
          <w:snapToGrid w:val="0"/>
          <w:color w:val="000000"/>
          <w:sz w:val="24"/>
          <w:szCs w:val="24"/>
          <w:rtl/>
          <w:lang w:eastAsia="ja-JP"/>
        </w:rPr>
        <w:t xml:space="preserve"> </w:t>
      </w:r>
      <w:r>
        <w:rPr>
          <w:rStyle w:val="a8"/>
          <w:rFonts w:eastAsiaTheme="majorEastAsia" w:cs="David"/>
          <w:snapToGrid w:val="0"/>
          <w:color w:val="000000"/>
          <w:sz w:val="24"/>
          <w:szCs w:val="24"/>
          <w:rtl/>
          <w:lang w:eastAsia="ja-JP"/>
        </w:rPr>
        <w:t xml:space="preserve">באמצעות דף ייעודי </w:t>
      </w:r>
      <w:r w:rsidR="0032260D">
        <w:rPr>
          <w:rStyle w:val="a8"/>
          <w:rFonts w:eastAsiaTheme="majorEastAsia" w:cs="David" w:hint="cs"/>
          <w:snapToGrid w:val="0"/>
          <w:color w:val="000000"/>
          <w:sz w:val="24"/>
          <w:szCs w:val="24"/>
          <w:rtl/>
          <w:lang w:eastAsia="ja-JP"/>
        </w:rPr>
        <w:t xml:space="preserve">שיימצא </w:t>
      </w:r>
      <w:r>
        <w:rPr>
          <w:rStyle w:val="a8"/>
          <w:rFonts w:eastAsiaTheme="majorEastAsia" w:cs="David"/>
          <w:snapToGrid w:val="0"/>
          <w:color w:val="000000"/>
          <w:sz w:val="24"/>
          <w:szCs w:val="24"/>
          <w:rtl/>
          <w:lang w:eastAsia="ja-JP"/>
        </w:rPr>
        <w:t>באתר</w:t>
      </w:r>
      <w:r w:rsidR="0032260D">
        <w:rPr>
          <w:rStyle w:val="a8"/>
          <w:rFonts w:eastAsiaTheme="majorEastAsia" w:cs="David" w:hint="cs"/>
          <w:snapToGrid w:val="0"/>
          <w:color w:val="000000"/>
          <w:sz w:val="24"/>
          <w:szCs w:val="24"/>
          <w:rtl/>
          <w:lang w:eastAsia="ja-JP"/>
        </w:rPr>
        <w:t xml:space="preserve"> האינטרנט</w:t>
      </w:r>
      <w:r>
        <w:rPr>
          <w:rStyle w:val="a8"/>
          <w:rFonts w:eastAsiaTheme="majorEastAsia" w:cs="David"/>
          <w:snapToGrid w:val="0"/>
          <w:color w:val="000000"/>
          <w:sz w:val="24"/>
          <w:szCs w:val="24"/>
          <w:rtl/>
          <w:lang w:eastAsia="ja-JP"/>
        </w:rPr>
        <w:t xml:space="preserve"> </w:t>
      </w:r>
      <w:r w:rsidR="0032260D">
        <w:rPr>
          <w:rStyle w:val="a8"/>
          <w:rFonts w:eastAsiaTheme="majorEastAsia" w:cs="David" w:hint="cs"/>
          <w:snapToGrid w:val="0"/>
          <w:color w:val="000000"/>
          <w:sz w:val="24"/>
          <w:szCs w:val="24"/>
          <w:rtl/>
          <w:lang w:eastAsia="ja-JP"/>
        </w:rPr>
        <w:t xml:space="preserve">של </w:t>
      </w:r>
      <w:r>
        <w:rPr>
          <w:rStyle w:val="a8"/>
          <w:rFonts w:eastAsiaTheme="majorEastAsia" w:cs="David"/>
          <w:snapToGrid w:val="0"/>
          <w:color w:val="000000"/>
          <w:sz w:val="24"/>
          <w:szCs w:val="24"/>
          <w:rtl/>
          <w:lang w:eastAsia="ja-JP"/>
        </w:rPr>
        <w:t xml:space="preserve">בתי הדין הרבניים. לכשיקיים הסרבן את פסק דינו של בית הדין, </w:t>
      </w:r>
      <w:r w:rsidR="0032260D">
        <w:rPr>
          <w:rStyle w:val="a8"/>
          <w:rFonts w:eastAsiaTheme="majorEastAsia" w:cs="David" w:hint="cs"/>
          <w:snapToGrid w:val="0"/>
          <w:color w:val="000000"/>
          <w:sz w:val="24"/>
          <w:szCs w:val="24"/>
          <w:rtl/>
          <w:lang w:eastAsia="ja-JP"/>
        </w:rPr>
        <w:t>י</w:t>
      </w:r>
      <w:r>
        <w:rPr>
          <w:rStyle w:val="a8"/>
          <w:rFonts w:eastAsiaTheme="majorEastAsia" w:cs="David"/>
          <w:snapToGrid w:val="0"/>
          <w:color w:val="000000"/>
          <w:sz w:val="24"/>
          <w:szCs w:val="24"/>
          <w:rtl/>
          <w:lang w:eastAsia="ja-JP"/>
        </w:rPr>
        <w:t>ימחקו פרטיו מהאתר.</w:t>
      </w:r>
    </w:p>
    <w:p w:rsidR="00830BB6" w:rsidRDefault="00830BB6" w:rsidP="00830BB6">
      <w:pPr>
        <w:spacing w:after="240" w:line="360" w:lineRule="auto"/>
        <w:jc w:val="both"/>
        <w:rPr>
          <w:rFonts w:ascii="Arial" w:eastAsiaTheme="majorEastAsia" w:hAnsi="Arial" w:cs="Guttman Keren"/>
          <w:b/>
          <w:bCs/>
          <w:color w:val="1D5872"/>
          <w:rtl/>
        </w:rPr>
      </w:pPr>
      <w:r>
        <w:rPr>
          <w:rStyle w:val="a8"/>
          <w:rFonts w:ascii="Arial" w:eastAsiaTheme="majorEastAsia" w:hAnsi="Arial" w:cs="Guttman Keren" w:hint="cs"/>
          <w:bCs/>
          <w:color w:val="1D5872"/>
          <w:sz w:val="24"/>
          <w:szCs w:val="24"/>
          <w:rtl/>
        </w:rPr>
        <w:t>המבט היהודי</w:t>
      </w:r>
    </w:p>
    <w:p w:rsidR="00830BB6" w:rsidRPr="0032260D" w:rsidRDefault="0032260D" w:rsidP="0032260D">
      <w:pPr>
        <w:pStyle w:val="Hesber"/>
        <w:spacing w:after="240"/>
        <w:ind w:firstLine="0"/>
        <w:textAlignment w:val="auto"/>
        <w:rPr>
          <w:sz w:val="24"/>
          <w:szCs w:val="24"/>
          <w:rtl/>
        </w:rPr>
      </w:pPr>
      <w:r>
        <w:rPr>
          <w:rFonts w:hint="cs"/>
          <w:b/>
          <w:bCs/>
          <w:sz w:val="24"/>
          <w:szCs w:val="24"/>
          <w:rtl/>
        </w:rPr>
        <w:t xml:space="preserve">1. </w:t>
      </w:r>
      <w:r w:rsidR="00830BB6" w:rsidRPr="0032260D">
        <w:rPr>
          <w:b/>
          <w:bCs/>
          <w:sz w:val="24"/>
          <w:szCs w:val="24"/>
          <w:rtl/>
        </w:rPr>
        <w:t>העגינות כטרגדיה</w:t>
      </w:r>
      <w:r>
        <w:rPr>
          <w:rFonts w:hint="cs"/>
          <w:sz w:val="24"/>
          <w:szCs w:val="24"/>
          <w:rtl/>
        </w:rPr>
        <w:t xml:space="preserve"> </w:t>
      </w:r>
      <w:r>
        <w:rPr>
          <w:sz w:val="24"/>
          <w:szCs w:val="24"/>
          <w:rtl/>
        </w:rPr>
        <w:t>–</w:t>
      </w:r>
      <w:r>
        <w:rPr>
          <w:rFonts w:hint="cs"/>
          <w:sz w:val="24"/>
          <w:szCs w:val="24"/>
          <w:rtl/>
        </w:rPr>
        <w:t xml:space="preserve"> </w:t>
      </w:r>
      <w:r w:rsidR="00830BB6" w:rsidRPr="0032260D">
        <w:rPr>
          <w:sz w:val="24"/>
          <w:szCs w:val="24"/>
          <w:rtl/>
        </w:rPr>
        <w:t>כאשר ביקשו חכמינו לתאר את עומק הטרגדיה שבה הייתה שרויה העיר ירושלים לאחר חורבנהּ, הם השוו אותה לעגונה ועל הפסוק ממגילת איכה (א, א) "איכה ישבה בדד [...] היתה כאלמנה"</w:t>
      </w:r>
      <w:r w:rsidRPr="0032260D">
        <w:rPr>
          <w:rFonts w:hint="cs"/>
          <w:sz w:val="24"/>
          <w:szCs w:val="24"/>
          <w:rtl/>
        </w:rPr>
        <w:t>,</w:t>
      </w:r>
      <w:r w:rsidR="00830BB6" w:rsidRPr="0032260D">
        <w:rPr>
          <w:sz w:val="24"/>
          <w:szCs w:val="24"/>
          <w:rtl/>
        </w:rPr>
        <w:t xml:space="preserve"> אמרו: "אלמנה אין כתיב כאן אלא כאלמנה, שהלך בעלה למדינת הים" (איכה רבה א, ג). הרמב"ם דימה אישה הכלואה בקשר נישואים בניגוד לרצונה, לשבויה;</w:t>
      </w:r>
      <w:r w:rsidR="00830BB6" w:rsidRPr="0032260D">
        <w:rPr>
          <w:rStyle w:val="ad"/>
          <w:rtl/>
        </w:rPr>
        <w:endnoteReference w:id="1"/>
      </w:r>
      <w:r w:rsidR="00830BB6" w:rsidRPr="0032260D">
        <w:rPr>
          <w:sz w:val="24"/>
          <w:szCs w:val="24"/>
          <w:rtl/>
        </w:rPr>
        <w:t xml:space="preserve"> וחלק מן הפוסקים השוו את התרתה של עגונה להצלת נפשות.</w:t>
      </w:r>
      <w:r w:rsidR="00830BB6" w:rsidRPr="0032260D">
        <w:rPr>
          <w:rStyle w:val="ad"/>
          <w:rtl/>
        </w:rPr>
        <w:endnoteReference w:id="2"/>
      </w:r>
    </w:p>
    <w:p w:rsidR="00830BB6" w:rsidRDefault="007A583E" w:rsidP="00636DE9">
      <w:pPr>
        <w:spacing w:after="240" w:line="360" w:lineRule="auto"/>
        <w:jc w:val="both"/>
        <w:rPr>
          <w:rFonts w:cs="David"/>
          <w:sz w:val="24"/>
          <w:szCs w:val="24"/>
          <w:rtl/>
        </w:rPr>
      </w:pPr>
      <w:r>
        <w:rPr>
          <w:rFonts w:cs="David" w:hint="cs"/>
          <w:b/>
          <w:bCs/>
          <w:sz w:val="24"/>
          <w:szCs w:val="24"/>
          <w:rtl/>
        </w:rPr>
        <w:t xml:space="preserve">2. </w:t>
      </w:r>
      <w:r w:rsidR="00830BB6" w:rsidRPr="007A583E">
        <w:rPr>
          <w:rFonts w:cs="David"/>
          <w:b/>
          <w:bCs/>
          <w:sz w:val="24"/>
          <w:szCs w:val="24"/>
          <w:rtl/>
        </w:rPr>
        <w:t>הביוש כגורם מניע</w:t>
      </w:r>
      <w:r>
        <w:rPr>
          <w:rFonts w:cs="David" w:hint="cs"/>
          <w:sz w:val="24"/>
          <w:szCs w:val="24"/>
          <w:rtl/>
        </w:rPr>
        <w:t xml:space="preserve"> </w:t>
      </w:r>
      <w:r>
        <w:rPr>
          <w:rFonts w:cs="David"/>
          <w:sz w:val="24"/>
          <w:szCs w:val="24"/>
          <w:rtl/>
        </w:rPr>
        <w:t>–</w:t>
      </w:r>
      <w:r w:rsidR="0031320E" w:rsidRPr="007A583E">
        <w:rPr>
          <w:rFonts w:cs="David" w:hint="cs"/>
          <w:sz w:val="24"/>
          <w:szCs w:val="24"/>
          <w:rtl/>
        </w:rPr>
        <w:t xml:space="preserve"> </w:t>
      </w:r>
      <w:r w:rsidR="00830BB6" w:rsidRPr="007A583E">
        <w:rPr>
          <w:rFonts w:cs="David"/>
          <w:sz w:val="24"/>
          <w:szCs w:val="24"/>
          <w:rtl/>
        </w:rPr>
        <w:t>חכמינו לא הסתפקו בהצהרות על חשיבות העזרה לעגונה, אלא העניקו כלים משפט</w:t>
      </w:r>
      <w:r>
        <w:rPr>
          <w:rFonts w:cs="David"/>
          <w:sz w:val="24"/>
          <w:szCs w:val="24"/>
          <w:rtl/>
        </w:rPr>
        <w:t>יים להתמודדות עם סרבנים אכזריים</w:t>
      </w:r>
      <w:r w:rsidR="00636DE9">
        <w:rPr>
          <w:rFonts w:cs="David" w:hint="cs"/>
          <w:sz w:val="24"/>
          <w:szCs w:val="24"/>
          <w:rtl/>
        </w:rPr>
        <w:t>.</w:t>
      </w:r>
      <w:r w:rsidR="00830BB6" w:rsidRPr="007A583E">
        <w:rPr>
          <w:rFonts w:cs="David"/>
          <w:sz w:val="24"/>
          <w:szCs w:val="24"/>
          <w:rtl/>
        </w:rPr>
        <w:t xml:space="preserve"> אחד </w:t>
      </w:r>
      <w:r w:rsidR="00636DE9">
        <w:rPr>
          <w:rFonts w:cs="David" w:hint="cs"/>
          <w:sz w:val="24"/>
          <w:szCs w:val="24"/>
          <w:rtl/>
        </w:rPr>
        <w:t>מהם הוא ההכרזה על סרבן הגט</w:t>
      </w:r>
      <w:r>
        <w:rPr>
          <w:rFonts w:cs="David" w:hint="cs"/>
          <w:sz w:val="24"/>
          <w:szCs w:val="24"/>
          <w:rtl/>
        </w:rPr>
        <w:t xml:space="preserve"> </w:t>
      </w:r>
      <w:r w:rsidR="00830BB6" w:rsidRPr="007A583E">
        <w:rPr>
          <w:rFonts w:cs="David"/>
          <w:sz w:val="24"/>
          <w:szCs w:val="24"/>
          <w:rtl/>
        </w:rPr>
        <w:t>כעבריין</w:t>
      </w:r>
      <w:r>
        <w:rPr>
          <w:rFonts w:cs="David" w:hint="cs"/>
          <w:sz w:val="24"/>
          <w:szCs w:val="24"/>
          <w:rtl/>
        </w:rPr>
        <w:t xml:space="preserve">: </w:t>
      </w:r>
      <w:r>
        <w:rPr>
          <w:rFonts w:cs="David"/>
          <w:sz w:val="24"/>
          <w:szCs w:val="24"/>
          <w:rtl/>
        </w:rPr>
        <w:t>"אומרים לו</w:t>
      </w:r>
      <w:r w:rsidR="00830BB6" w:rsidRPr="007A583E">
        <w:rPr>
          <w:rFonts w:cs="David"/>
          <w:sz w:val="24"/>
          <w:szCs w:val="24"/>
          <w:rtl/>
        </w:rPr>
        <w:t xml:space="preserve"> </w:t>
      </w:r>
      <w:r>
        <w:rPr>
          <w:rFonts w:cs="David" w:hint="cs"/>
          <w:sz w:val="24"/>
          <w:szCs w:val="24"/>
          <w:rtl/>
        </w:rPr>
        <w:t>'</w:t>
      </w:r>
      <w:r w:rsidR="00830BB6" w:rsidRPr="007A583E">
        <w:rPr>
          <w:rFonts w:cs="David"/>
          <w:sz w:val="24"/>
          <w:szCs w:val="24"/>
          <w:rtl/>
        </w:rPr>
        <w:t xml:space="preserve">חכמים חייבוך להוציא, ואם לא תוציא </w:t>
      </w:r>
      <w:r>
        <w:rPr>
          <w:rFonts w:cs="David"/>
          <w:sz w:val="24"/>
          <w:szCs w:val="24"/>
          <w:rtl/>
        </w:rPr>
        <w:t>–</w:t>
      </w:r>
      <w:r>
        <w:rPr>
          <w:rFonts w:cs="David" w:hint="cs"/>
          <w:sz w:val="24"/>
          <w:szCs w:val="24"/>
          <w:rtl/>
        </w:rPr>
        <w:t xml:space="preserve"> </w:t>
      </w:r>
      <w:r w:rsidR="00830BB6" w:rsidRPr="007A583E">
        <w:rPr>
          <w:rFonts w:cs="David"/>
          <w:sz w:val="24"/>
          <w:szCs w:val="24"/>
          <w:rtl/>
        </w:rPr>
        <w:t xml:space="preserve">מותר </w:t>
      </w:r>
      <w:proofErr w:type="spellStart"/>
      <w:r w:rsidR="00830BB6" w:rsidRPr="007A583E">
        <w:rPr>
          <w:rFonts w:cs="David"/>
          <w:sz w:val="24"/>
          <w:szCs w:val="24"/>
          <w:rtl/>
        </w:rPr>
        <w:t>לקרותך</w:t>
      </w:r>
      <w:proofErr w:type="spellEnd"/>
      <w:r w:rsidR="00830BB6" w:rsidRPr="007A583E">
        <w:rPr>
          <w:rFonts w:cs="David"/>
          <w:sz w:val="24"/>
          <w:szCs w:val="24"/>
          <w:rtl/>
        </w:rPr>
        <w:t xml:space="preserve"> עבריין</w:t>
      </w:r>
      <w:r>
        <w:rPr>
          <w:rFonts w:cs="David" w:hint="cs"/>
          <w:sz w:val="24"/>
          <w:szCs w:val="24"/>
          <w:rtl/>
        </w:rPr>
        <w:t>'</w:t>
      </w:r>
      <w:r>
        <w:rPr>
          <w:rFonts w:cs="David" w:hint="eastAsia"/>
          <w:sz w:val="24"/>
          <w:szCs w:val="24"/>
          <w:rtl/>
        </w:rPr>
        <w:t> </w:t>
      </w:r>
      <w:r w:rsidR="00830BB6" w:rsidRPr="007A583E">
        <w:rPr>
          <w:rFonts w:cs="David"/>
          <w:sz w:val="24"/>
          <w:szCs w:val="24"/>
          <w:rtl/>
        </w:rPr>
        <w:t>" (שו</w:t>
      </w:r>
      <w:r>
        <w:rPr>
          <w:rFonts w:cs="David" w:hint="cs"/>
          <w:sz w:val="24"/>
          <w:szCs w:val="24"/>
          <w:rtl/>
        </w:rPr>
        <w:t>לחן ערוך,</w:t>
      </w:r>
      <w:r w:rsidR="00830BB6" w:rsidRPr="007A583E">
        <w:rPr>
          <w:rFonts w:cs="David"/>
          <w:sz w:val="24"/>
          <w:szCs w:val="24"/>
          <w:rtl/>
        </w:rPr>
        <w:t xml:space="preserve"> אבן </w:t>
      </w:r>
      <w:r>
        <w:rPr>
          <w:rFonts w:cs="David" w:hint="cs"/>
          <w:sz w:val="24"/>
          <w:szCs w:val="24"/>
          <w:rtl/>
        </w:rPr>
        <w:t>ה</w:t>
      </w:r>
      <w:r w:rsidR="00830BB6" w:rsidRPr="007A583E">
        <w:rPr>
          <w:rFonts w:cs="David"/>
          <w:sz w:val="24"/>
          <w:szCs w:val="24"/>
          <w:rtl/>
        </w:rPr>
        <w:t xml:space="preserve">עזר, </w:t>
      </w:r>
      <w:r>
        <w:rPr>
          <w:rFonts w:cs="David" w:hint="cs"/>
          <w:sz w:val="24"/>
          <w:szCs w:val="24"/>
          <w:rtl/>
        </w:rPr>
        <w:t xml:space="preserve">סימן </w:t>
      </w:r>
      <w:proofErr w:type="spellStart"/>
      <w:r w:rsidR="00830BB6" w:rsidRPr="007A583E">
        <w:rPr>
          <w:rFonts w:cs="David"/>
          <w:sz w:val="24"/>
          <w:szCs w:val="24"/>
          <w:rtl/>
        </w:rPr>
        <w:t>קנד</w:t>
      </w:r>
      <w:proofErr w:type="spellEnd"/>
      <w:r w:rsidR="00830BB6" w:rsidRPr="007A583E">
        <w:rPr>
          <w:rFonts w:cs="David"/>
          <w:sz w:val="24"/>
          <w:szCs w:val="24"/>
          <w:rtl/>
        </w:rPr>
        <w:t xml:space="preserve">, </w:t>
      </w:r>
      <w:r>
        <w:rPr>
          <w:rFonts w:cs="David" w:hint="cs"/>
          <w:sz w:val="24"/>
          <w:szCs w:val="24"/>
          <w:rtl/>
        </w:rPr>
        <w:t xml:space="preserve">סעיף </w:t>
      </w:r>
      <w:proofErr w:type="spellStart"/>
      <w:r w:rsidR="00830BB6" w:rsidRPr="007A583E">
        <w:rPr>
          <w:rFonts w:cs="David"/>
          <w:sz w:val="24"/>
          <w:szCs w:val="24"/>
          <w:rtl/>
        </w:rPr>
        <w:t>כא</w:t>
      </w:r>
      <w:proofErr w:type="spellEnd"/>
      <w:r>
        <w:rPr>
          <w:rFonts w:cs="David" w:hint="cs"/>
          <w:sz w:val="24"/>
          <w:szCs w:val="24"/>
          <w:rtl/>
        </w:rPr>
        <w:t xml:space="preserve">). הכרזה על אדם כעבריין גוררת </w:t>
      </w:r>
      <w:r>
        <w:rPr>
          <w:rFonts w:cs="David"/>
          <w:sz w:val="24"/>
          <w:szCs w:val="24"/>
          <w:rtl/>
        </w:rPr>
        <w:t>–</w:t>
      </w:r>
      <w:r>
        <w:rPr>
          <w:rFonts w:cs="David" w:hint="cs"/>
          <w:sz w:val="24"/>
          <w:szCs w:val="24"/>
          <w:rtl/>
        </w:rPr>
        <w:t xml:space="preserve"> </w:t>
      </w:r>
      <w:r w:rsidR="00830BB6" w:rsidRPr="007A583E">
        <w:rPr>
          <w:rFonts w:cs="David"/>
          <w:sz w:val="24"/>
          <w:szCs w:val="24"/>
          <w:rtl/>
        </w:rPr>
        <w:t xml:space="preserve">לדעת חלק מן הראשונים, וכן נהוג </w:t>
      </w:r>
      <w:r>
        <w:rPr>
          <w:rFonts w:cs="David" w:hint="cs"/>
          <w:sz w:val="24"/>
          <w:szCs w:val="24"/>
          <w:rtl/>
        </w:rPr>
        <w:t xml:space="preserve">למעשה </w:t>
      </w:r>
      <w:r>
        <w:rPr>
          <w:rFonts w:cs="David"/>
          <w:sz w:val="24"/>
          <w:szCs w:val="24"/>
          <w:rtl/>
        </w:rPr>
        <w:t>היום בבתי הדין</w:t>
      </w:r>
      <w:r w:rsidR="00830BB6" w:rsidRPr="007A583E">
        <w:rPr>
          <w:rFonts w:cs="David"/>
          <w:sz w:val="24"/>
          <w:szCs w:val="24"/>
          <w:rtl/>
        </w:rPr>
        <w:t xml:space="preserve"> </w:t>
      </w:r>
      <w:r>
        <w:rPr>
          <w:rFonts w:cs="David"/>
          <w:sz w:val="24"/>
          <w:szCs w:val="24"/>
          <w:rtl/>
        </w:rPr>
        <w:t>–</w:t>
      </w:r>
      <w:r>
        <w:rPr>
          <w:rFonts w:cs="David" w:hint="cs"/>
          <w:sz w:val="24"/>
          <w:szCs w:val="24"/>
          <w:rtl/>
        </w:rPr>
        <w:t xml:space="preserve"> הטלת </w:t>
      </w:r>
      <w:r w:rsidR="00830BB6" w:rsidRPr="007A583E">
        <w:rPr>
          <w:rFonts w:cs="David"/>
          <w:sz w:val="24"/>
          <w:szCs w:val="24"/>
          <w:rtl/>
        </w:rPr>
        <w:t>מכלול</w:t>
      </w:r>
      <w:r>
        <w:rPr>
          <w:rFonts w:cs="David"/>
          <w:sz w:val="24"/>
          <w:szCs w:val="24"/>
          <w:rtl/>
        </w:rPr>
        <w:t xml:space="preserve"> של סנקציות חברתיות על סרבן הגט</w:t>
      </w:r>
      <w:r>
        <w:rPr>
          <w:rFonts w:cs="David" w:hint="cs"/>
          <w:sz w:val="24"/>
          <w:szCs w:val="24"/>
          <w:rtl/>
        </w:rPr>
        <w:t>. סנקציות אלו</w:t>
      </w:r>
      <w:r>
        <w:rPr>
          <w:rFonts w:cs="David"/>
          <w:sz w:val="24"/>
          <w:szCs w:val="24"/>
          <w:rtl/>
        </w:rPr>
        <w:t xml:space="preserve"> </w:t>
      </w:r>
      <w:r w:rsidR="00830BB6" w:rsidRPr="007A583E">
        <w:rPr>
          <w:rFonts w:cs="David"/>
          <w:sz w:val="24"/>
          <w:szCs w:val="24"/>
          <w:rtl/>
        </w:rPr>
        <w:t>קרויות 'הרחקות דרבנו תם'</w:t>
      </w:r>
      <w:r>
        <w:rPr>
          <w:rFonts w:cs="David" w:hint="cs"/>
          <w:sz w:val="24"/>
          <w:szCs w:val="24"/>
          <w:rtl/>
        </w:rPr>
        <w:t>, ועניינן</w:t>
      </w:r>
      <w:r w:rsidR="00830BB6" w:rsidRPr="007A583E">
        <w:rPr>
          <w:rFonts w:cs="David"/>
          <w:sz w:val="24"/>
          <w:szCs w:val="24"/>
          <w:rtl/>
        </w:rPr>
        <w:t xml:space="preserve">: "שלא </w:t>
      </w:r>
      <w:proofErr w:type="spellStart"/>
      <w:r w:rsidR="00830BB6" w:rsidRPr="007A583E">
        <w:rPr>
          <w:rFonts w:cs="David"/>
          <w:sz w:val="24"/>
          <w:szCs w:val="24"/>
          <w:rtl/>
        </w:rPr>
        <w:t>יהו</w:t>
      </w:r>
      <w:proofErr w:type="spellEnd"/>
      <w:r w:rsidR="00830BB6" w:rsidRPr="007A583E">
        <w:rPr>
          <w:rFonts w:cs="David"/>
          <w:sz w:val="24"/>
          <w:szCs w:val="24"/>
          <w:rtl/>
        </w:rPr>
        <w:t xml:space="preserve"> </w:t>
      </w:r>
      <w:proofErr w:type="spellStart"/>
      <w:r w:rsidR="00830BB6" w:rsidRPr="007A583E">
        <w:rPr>
          <w:rFonts w:cs="David"/>
          <w:sz w:val="24"/>
          <w:szCs w:val="24"/>
          <w:rtl/>
        </w:rPr>
        <w:t>רשאין</w:t>
      </w:r>
      <w:proofErr w:type="spellEnd"/>
      <w:r w:rsidR="00830BB6" w:rsidRPr="007A583E">
        <w:rPr>
          <w:rFonts w:cs="David"/>
          <w:sz w:val="24"/>
          <w:szCs w:val="24"/>
          <w:rtl/>
        </w:rPr>
        <w:t xml:space="preserve"> לדבר עמו</w:t>
      </w:r>
      <w:r>
        <w:rPr>
          <w:rFonts w:cs="David" w:hint="cs"/>
          <w:sz w:val="24"/>
          <w:szCs w:val="24"/>
          <w:rtl/>
        </w:rPr>
        <w:t>,</w:t>
      </w:r>
      <w:r w:rsidR="00830BB6" w:rsidRPr="007A583E">
        <w:rPr>
          <w:rFonts w:cs="David"/>
          <w:sz w:val="24"/>
          <w:szCs w:val="24"/>
          <w:rtl/>
        </w:rPr>
        <w:t xml:space="preserve"> </w:t>
      </w:r>
      <w:proofErr w:type="spellStart"/>
      <w:r w:rsidR="00830BB6" w:rsidRPr="007A583E">
        <w:rPr>
          <w:rFonts w:cs="David"/>
          <w:sz w:val="24"/>
          <w:szCs w:val="24"/>
          <w:rtl/>
        </w:rPr>
        <w:t>לישא</w:t>
      </w:r>
      <w:proofErr w:type="spellEnd"/>
      <w:r w:rsidR="00830BB6" w:rsidRPr="007A583E">
        <w:rPr>
          <w:rFonts w:cs="David"/>
          <w:sz w:val="24"/>
          <w:szCs w:val="24"/>
          <w:rtl/>
        </w:rPr>
        <w:t xml:space="preserve"> </w:t>
      </w:r>
      <w:proofErr w:type="spellStart"/>
      <w:r w:rsidR="00830BB6" w:rsidRPr="007A583E">
        <w:rPr>
          <w:rFonts w:cs="David"/>
          <w:sz w:val="24"/>
          <w:szCs w:val="24"/>
          <w:rtl/>
        </w:rPr>
        <w:t>וליתן</w:t>
      </w:r>
      <w:proofErr w:type="spellEnd"/>
      <w:r w:rsidR="00830BB6" w:rsidRPr="007A583E">
        <w:rPr>
          <w:rFonts w:cs="David"/>
          <w:sz w:val="24"/>
          <w:szCs w:val="24"/>
          <w:rtl/>
        </w:rPr>
        <w:t xml:space="preserve"> עמו</w:t>
      </w:r>
      <w:r>
        <w:rPr>
          <w:rFonts w:cs="David" w:hint="cs"/>
          <w:sz w:val="24"/>
          <w:szCs w:val="24"/>
          <w:rtl/>
        </w:rPr>
        <w:t>,</w:t>
      </w:r>
      <w:r w:rsidR="00830BB6" w:rsidRPr="007A583E">
        <w:rPr>
          <w:rFonts w:cs="David"/>
          <w:sz w:val="24"/>
          <w:szCs w:val="24"/>
          <w:rtl/>
        </w:rPr>
        <w:t xml:space="preserve"> </w:t>
      </w:r>
      <w:proofErr w:type="spellStart"/>
      <w:r w:rsidR="00830BB6" w:rsidRPr="007A583E">
        <w:rPr>
          <w:rFonts w:cs="David"/>
          <w:sz w:val="24"/>
          <w:szCs w:val="24"/>
          <w:rtl/>
        </w:rPr>
        <w:t>להאריחו</w:t>
      </w:r>
      <w:proofErr w:type="spellEnd"/>
      <w:r>
        <w:rPr>
          <w:rFonts w:cs="David" w:hint="cs"/>
          <w:sz w:val="24"/>
          <w:szCs w:val="24"/>
          <w:rtl/>
        </w:rPr>
        <w:t>,</w:t>
      </w:r>
      <w:r w:rsidR="00830BB6" w:rsidRPr="007A583E">
        <w:rPr>
          <w:rFonts w:cs="David"/>
          <w:sz w:val="24"/>
          <w:szCs w:val="24"/>
          <w:rtl/>
        </w:rPr>
        <w:t xml:space="preserve"> ולהאכילו ולהשקותו</w:t>
      </w:r>
      <w:r>
        <w:rPr>
          <w:rFonts w:cs="David" w:hint="cs"/>
          <w:sz w:val="24"/>
          <w:szCs w:val="24"/>
          <w:rtl/>
        </w:rPr>
        <w:t>,</w:t>
      </w:r>
      <w:r w:rsidR="00830BB6" w:rsidRPr="007A583E">
        <w:rPr>
          <w:rFonts w:cs="David"/>
          <w:sz w:val="24"/>
          <w:szCs w:val="24"/>
          <w:rtl/>
        </w:rPr>
        <w:t xml:space="preserve"> </w:t>
      </w:r>
      <w:proofErr w:type="spellStart"/>
      <w:r w:rsidR="00830BB6" w:rsidRPr="007A583E">
        <w:rPr>
          <w:rFonts w:cs="David"/>
          <w:sz w:val="24"/>
          <w:szCs w:val="24"/>
          <w:rtl/>
        </w:rPr>
        <w:t>וללוותו</w:t>
      </w:r>
      <w:proofErr w:type="spellEnd"/>
      <w:r>
        <w:rPr>
          <w:rFonts w:cs="David" w:hint="cs"/>
          <w:sz w:val="24"/>
          <w:szCs w:val="24"/>
          <w:rtl/>
        </w:rPr>
        <w:t>,</w:t>
      </w:r>
      <w:r w:rsidR="00830BB6" w:rsidRPr="007A583E">
        <w:rPr>
          <w:rFonts w:cs="David"/>
          <w:sz w:val="24"/>
          <w:szCs w:val="24"/>
          <w:rtl/>
        </w:rPr>
        <w:t xml:space="preserve"> ולבקרו בחלותו"</w:t>
      </w:r>
      <w:r>
        <w:rPr>
          <w:rFonts w:cs="David"/>
          <w:sz w:val="24"/>
          <w:szCs w:val="24"/>
          <w:rtl/>
        </w:rPr>
        <w:t xml:space="preserve"> (ספר הישר, חלק התשובות, סימן כ</w:t>
      </w:r>
      <w:r w:rsidR="00830BB6" w:rsidRPr="007A583E">
        <w:rPr>
          <w:rFonts w:cs="David"/>
          <w:sz w:val="24"/>
          <w:szCs w:val="24"/>
          <w:rtl/>
        </w:rPr>
        <w:t>ד).</w:t>
      </w:r>
      <w:r w:rsidR="00830BB6" w:rsidRPr="007A583E">
        <w:rPr>
          <w:rStyle w:val="ad"/>
          <w:rtl/>
        </w:rPr>
        <w:endnoteReference w:id="3"/>
      </w:r>
      <w:r>
        <w:rPr>
          <w:rFonts w:cs="David" w:hint="cs"/>
          <w:sz w:val="24"/>
          <w:szCs w:val="24"/>
          <w:rtl/>
        </w:rPr>
        <w:t xml:space="preserve"> </w:t>
      </w:r>
      <w:r w:rsidR="00830BB6">
        <w:rPr>
          <w:rFonts w:cs="David"/>
          <w:sz w:val="24"/>
          <w:szCs w:val="24"/>
          <w:rtl/>
        </w:rPr>
        <w:t>מ</w:t>
      </w:r>
      <w:r w:rsidR="00636DE9">
        <w:rPr>
          <w:rFonts w:cs="David"/>
          <w:sz w:val="24"/>
          <w:szCs w:val="24"/>
          <w:rtl/>
        </w:rPr>
        <w:t xml:space="preserve">טרתו העיקרית של ביוש </w:t>
      </w:r>
      <w:r w:rsidR="00830BB6">
        <w:rPr>
          <w:rFonts w:cs="David"/>
          <w:sz w:val="24"/>
          <w:szCs w:val="24"/>
          <w:rtl/>
        </w:rPr>
        <w:t>פומבי</w:t>
      </w:r>
      <w:r w:rsidR="00636DE9">
        <w:rPr>
          <w:rFonts w:cs="David" w:hint="cs"/>
          <w:sz w:val="24"/>
          <w:szCs w:val="24"/>
          <w:rtl/>
        </w:rPr>
        <w:t xml:space="preserve"> זה </w:t>
      </w:r>
      <w:r w:rsidR="00830BB6">
        <w:rPr>
          <w:rFonts w:cs="David"/>
          <w:sz w:val="24"/>
          <w:szCs w:val="24"/>
          <w:rtl/>
        </w:rPr>
        <w:t>הי</w:t>
      </w:r>
      <w:r w:rsidR="00636DE9">
        <w:rPr>
          <w:rFonts w:cs="David" w:hint="cs"/>
          <w:sz w:val="24"/>
          <w:szCs w:val="24"/>
          <w:rtl/>
        </w:rPr>
        <w:t xml:space="preserve">א </w:t>
      </w:r>
      <w:r w:rsidR="00636DE9">
        <w:rPr>
          <w:rFonts w:cs="David"/>
          <w:sz w:val="24"/>
          <w:szCs w:val="24"/>
          <w:rtl/>
        </w:rPr>
        <w:t>כמובן לשכנע את</w:t>
      </w:r>
      <w:r w:rsidR="00636DE9">
        <w:rPr>
          <w:rFonts w:cs="David" w:hint="cs"/>
          <w:sz w:val="24"/>
          <w:szCs w:val="24"/>
          <w:rtl/>
        </w:rPr>
        <w:t xml:space="preserve"> העבריין</w:t>
      </w:r>
      <w:r w:rsidR="00830BB6">
        <w:rPr>
          <w:rFonts w:cs="David"/>
          <w:sz w:val="24"/>
          <w:szCs w:val="24"/>
          <w:rtl/>
        </w:rPr>
        <w:t xml:space="preserve"> למלא אחר ציווי בית הדין ולגרש את אשתו, ש"מצוה עלינו להרחיקו כדי שישוב מדרכו הרעה וכדי להציל </w:t>
      </w:r>
      <w:proofErr w:type="spellStart"/>
      <w:r w:rsidR="00830BB6">
        <w:rPr>
          <w:rFonts w:cs="David"/>
          <w:sz w:val="24"/>
          <w:szCs w:val="24"/>
          <w:rtl/>
        </w:rPr>
        <w:t>העניה</w:t>
      </w:r>
      <w:proofErr w:type="spellEnd"/>
      <w:r w:rsidR="00830BB6">
        <w:rPr>
          <w:rFonts w:cs="David"/>
          <w:sz w:val="24"/>
          <w:szCs w:val="24"/>
          <w:rtl/>
        </w:rPr>
        <w:t xml:space="preserve"> הע</w:t>
      </w:r>
      <w:r w:rsidR="00636DE9">
        <w:rPr>
          <w:rFonts w:cs="David"/>
          <w:sz w:val="24"/>
          <w:szCs w:val="24"/>
          <w:rtl/>
        </w:rPr>
        <w:t xml:space="preserve">שוקה מידו" (סדר אליהו, סימן </w:t>
      </w:r>
      <w:proofErr w:type="spellStart"/>
      <w:r w:rsidR="00636DE9">
        <w:rPr>
          <w:rFonts w:cs="David"/>
          <w:sz w:val="24"/>
          <w:szCs w:val="24"/>
          <w:rtl/>
        </w:rPr>
        <w:t>יג</w:t>
      </w:r>
      <w:proofErr w:type="spellEnd"/>
      <w:r w:rsidR="00636DE9">
        <w:rPr>
          <w:rFonts w:cs="David"/>
          <w:sz w:val="24"/>
          <w:szCs w:val="24"/>
          <w:rtl/>
        </w:rPr>
        <w:t>)</w:t>
      </w:r>
      <w:r w:rsidR="00636DE9">
        <w:rPr>
          <w:rFonts w:cs="David" w:hint="cs"/>
          <w:sz w:val="24"/>
          <w:szCs w:val="24"/>
          <w:rtl/>
        </w:rPr>
        <w:t>;</w:t>
      </w:r>
      <w:r w:rsidR="00830BB6">
        <w:rPr>
          <w:rFonts w:cs="David"/>
          <w:sz w:val="24"/>
          <w:szCs w:val="24"/>
          <w:rtl/>
        </w:rPr>
        <w:t xml:space="preserve"> </w:t>
      </w:r>
      <w:proofErr w:type="spellStart"/>
      <w:r w:rsidR="00636DE9">
        <w:rPr>
          <w:rFonts w:cs="David" w:hint="cs"/>
          <w:sz w:val="24"/>
          <w:szCs w:val="24"/>
          <w:rtl/>
        </w:rPr>
        <w:t>ומאידך</w:t>
      </w:r>
      <w:r w:rsidR="00636DE9">
        <w:rPr>
          <w:rFonts w:cs="David" w:hint="eastAsia"/>
          <w:sz w:val="24"/>
          <w:szCs w:val="24"/>
          <w:rtl/>
        </w:rPr>
        <w:t>־</w:t>
      </w:r>
      <w:r w:rsidR="00636DE9">
        <w:rPr>
          <w:rFonts w:cs="David" w:hint="cs"/>
          <w:sz w:val="24"/>
          <w:szCs w:val="24"/>
          <w:rtl/>
        </w:rPr>
        <w:t>גיסא</w:t>
      </w:r>
      <w:proofErr w:type="spellEnd"/>
      <w:r w:rsidR="00830BB6">
        <w:rPr>
          <w:rFonts w:cs="David"/>
          <w:sz w:val="24"/>
          <w:szCs w:val="24"/>
          <w:rtl/>
        </w:rPr>
        <w:t>, ש</w:t>
      </w:r>
      <w:r w:rsidR="00636DE9">
        <w:rPr>
          <w:rFonts w:cs="David" w:hint="cs"/>
          <w:sz w:val="24"/>
          <w:szCs w:val="24"/>
          <w:rtl/>
        </w:rPr>
        <w:t>אמצעי השכנוע</w:t>
      </w:r>
      <w:r w:rsidR="00830BB6">
        <w:rPr>
          <w:rFonts w:cs="David"/>
          <w:sz w:val="24"/>
          <w:szCs w:val="24"/>
          <w:rtl/>
        </w:rPr>
        <w:t xml:space="preserve"> </w:t>
      </w:r>
      <w:r w:rsidR="00636DE9">
        <w:rPr>
          <w:rFonts w:cs="David" w:hint="cs"/>
          <w:sz w:val="24"/>
          <w:szCs w:val="24"/>
          <w:rtl/>
        </w:rPr>
        <w:t xml:space="preserve">לא </w:t>
      </w:r>
      <w:r w:rsidR="00830BB6">
        <w:rPr>
          <w:rFonts w:cs="David"/>
          <w:sz w:val="24"/>
          <w:szCs w:val="24"/>
          <w:rtl/>
        </w:rPr>
        <w:t>יעלו לכדי כפ</w:t>
      </w:r>
      <w:r w:rsidR="00636DE9">
        <w:rPr>
          <w:rFonts w:cs="David" w:hint="cs"/>
          <w:sz w:val="24"/>
          <w:szCs w:val="24"/>
          <w:rtl/>
        </w:rPr>
        <w:t>י</w:t>
      </w:r>
      <w:r w:rsidR="00830BB6">
        <w:rPr>
          <w:rFonts w:cs="David"/>
          <w:sz w:val="24"/>
          <w:szCs w:val="24"/>
          <w:rtl/>
        </w:rPr>
        <w:t>יה של ממש, העלולה במקרים מסוימים ל</w:t>
      </w:r>
      <w:r w:rsidR="00636DE9">
        <w:rPr>
          <w:rFonts w:cs="David" w:hint="cs"/>
          <w:sz w:val="24"/>
          <w:szCs w:val="24"/>
          <w:rtl/>
        </w:rPr>
        <w:t xml:space="preserve">פסול את </w:t>
      </w:r>
      <w:r w:rsidR="00830BB6">
        <w:rPr>
          <w:rFonts w:cs="David"/>
          <w:sz w:val="24"/>
          <w:szCs w:val="24"/>
          <w:rtl/>
        </w:rPr>
        <w:t xml:space="preserve">הגט כ'גט מעושה' </w:t>
      </w:r>
      <w:r w:rsidR="00636DE9">
        <w:rPr>
          <w:rFonts w:cs="David" w:hint="cs"/>
          <w:sz w:val="24"/>
          <w:szCs w:val="24"/>
          <w:rtl/>
        </w:rPr>
        <w:t>(</w:t>
      </w:r>
      <w:r w:rsidR="00830BB6">
        <w:rPr>
          <w:rFonts w:cs="David"/>
          <w:sz w:val="24"/>
          <w:szCs w:val="24"/>
          <w:rtl/>
        </w:rPr>
        <w:t>כלומר גט שלא ניתן מרצונו החופשי של הבעל</w:t>
      </w:r>
      <w:r w:rsidR="00636DE9">
        <w:rPr>
          <w:rFonts w:cs="David" w:hint="cs"/>
          <w:sz w:val="24"/>
          <w:szCs w:val="24"/>
          <w:rtl/>
        </w:rPr>
        <w:t>)</w:t>
      </w:r>
      <w:r w:rsidR="00830BB6">
        <w:rPr>
          <w:rFonts w:cs="David"/>
          <w:sz w:val="24"/>
          <w:szCs w:val="24"/>
          <w:rtl/>
        </w:rPr>
        <w:t>.</w:t>
      </w:r>
      <w:r w:rsidR="00830BB6" w:rsidRPr="007A583E">
        <w:rPr>
          <w:rStyle w:val="ad"/>
          <w:rtl/>
        </w:rPr>
        <w:endnoteReference w:id="4"/>
      </w:r>
      <w:r w:rsidR="00830BB6">
        <w:rPr>
          <w:rFonts w:cs="David"/>
          <w:sz w:val="24"/>
          <w:szCs w:val="24"/>
          <w:rtl/>
        </w:rPr>
        <w:t xml:space="preserve"> </w:t>
      </w:r>
    </w:p>
    <w:p w:rsidR="00830BB6" w:rsidRPr="007A583E" w:rsidRDefault="007A583E" w:rsidP="00636DE9">
      <w:pPr>
        <w:spacing w:after="240" w:line="360" w:lineRule="auto"/>
        <w:jc w:val="both"/>
        <w:rPr>
          <w:rFonts w:cs="David"/>
          <w:sz w:val="24"/>
          <w:szCs w:val="24"/>
        </w:rPr>
      </w:pPr>
      <w:r>
        <w:rPr>
          <w:rFonts w:cs="David" w:hint="cs"/>
          <w:b/>
          <w:bCs/>
          <w:sz w:val="24"/>
          <w:szCs w:val="24"/>
          <w:rtl/>
        </w:rPr>
        <w:t xml:space="preserve">3. </w:t>
      </w:r>
      <w:r w:rsidR="00830BB6" w:rsidRPr="007A583E">
        <w:rPr>
          <w:rFonts w:cs="David"/>
          <w:b/>
          <w:bCs/>
          <w:sz w:val="24"/>
          <w:szCs w:val="24"/>
          <w:rtl/>
        </w:rPr>
        <w:t>הפרסום כמעשה חינוכי</w:t>
      </w:r>
      <w:r w:rsidRPr="007A583E">
        <w:rPr>
          <w:rFonts w:cs="David" w:hint="cs"/>
          <w:b/>
          <w:bCs/>
          <w:sz w:val="24"/>
          <w:szCs w:val="24"/>
          <w:rtl/>
        </w:rPr>
        <w:t xml:space="preserve"> </w:t>
      </w:r>
      <w:r w:rsidRPr="007A583E">
        <w:rPr>
          <w:rFonts w:cs="David"/>
          <w:b/>
          <w:bCs/>
          <w:sz w:val="24"/>
          <w:szCs w:val="24"/>
          <w:rtl/>
        </w:rPr>
        <w:t>–</w:t>
      </w:r>
      <w:r w:rsidRPr="007A583E">
        <w:rPr>
          <w:rFonts w:cs="David" w:hint="cs"/>
          <w:sz w:val="24"/>
          <w:szCs w:val="24"/>
          <w:rtl/>
        </w:rPr>
        <w:t xml:space="preserve"> </w:t>
      </w:r>
      <w:r w:rsidR="00636DE9">
        <w:rPr>
          <w:rFonts w:cs="David"/>
          <w:sz w:val="24"/>
          <w:szCs w:val="24"/>
          <w:rtl/>
        </w:rPr>
        <w:t>מעבר למטרה הנקודתית</w:t>
      </w:r>
      <w:r w:rsidR="00220DF4">
        <w:rPr>
          <w:rFonts w:cs="David" w:hint="cs"/>
          <w:sz w:val="24"/>
          <w:szCs w:val="24"/>
          <w:rtl/>
        </w:rPr>
        <w:t>,</w:t>
      </w:r>
      <w:r w:rsidR="00636DE9">
        <w:rPr>
          <w:rFonts w:cs="David" w:hint="cs"/>
          <w:sz w:val="24"/>
          <w:szCs w:val="24"/>
          <w:rtl/>
        </w:rPr>
        <w:t xml:space="preserve"> הלוא היא</w:t>
      </w:r>
      <w:r w:rsidR="00830BB6" w:rsidRPr="007A583E">
        <w:rPr>
          <w:rFonts w:cs="David"/>
          <w:sz w:val="24"/>
          <w:szCs w:val="24"/>
          <w:rtl/>
        </w:rPr>
        <w:t xml:space="preserve"> שכנוע הבעל לגרש</w:t>
      </w:r>
      <w:r w:rsidR="00636DE9">
        <w:rPr>
          <w:rFonts w:cs="David" w:hint="cs"/>
          <w:sz w:val="24"/>
          <w:szCs w:val="24"/>
          <w:rtl/>
        </w:rPr>
        <w:t xml:space="preserve"> את אשתו</w:t>
      </w:r>
      <w:r w:rsidR="00830BB6" w:rsidRPr="007A583E">
        <w:rPr>
          <w:rFonts w:cs="David"/>
          <w:sz w:val="24"/>
          <w:szCs w:val="24"/>
          <w:rtl/>
        </w:rPr>
        <w:t xml:space="preserve">, הפרסום </w:t>
      </w:r>
      <w:r w:rsidR="00636DE9">
        <w:rPr>
          <w:rFonts w:cs="David" w:hint="cs"/>
          <w:sz w:val="24"/>
          <w:szCs w:val="24"/>
          <w:rtl/>
        </w:rPr>
        <w:t xml:space="preserve">ממלא </w:t>
      </w:r>
      <w:r w:rsidR="00830BB6" w:rsidRPr="007A583E">
        <w:rPr>
          <w:rFonts w:cs="David"/>
          <w:sz w:val="24"/>
          <w:szCs w:val="24"/>
          <w:rtl/>
        </w:rPr>
        <w:t xml:space="preserve">תפקיד חשוב נוסף: </w:t>
      </w:r>
      <w:r w:rsidR="00636DE9">
        <w:rPr>
          <w:rFonts w:cs="David" w:hint="cs"/>
          <w:sz w:val="24"/>
          <w:szCs w:val="24"/>
          <w:rtl/>
        </w:rPr>
        <w:t>ההכרזה הפומבית</w:t>
      </w:r>
      <w:r w:rsidR="00830BB6" w:rsidRPr="007A583E">
        <w:rPr>
          <w:rFonts w:cs="David"/>
          <w:sz w:val="24"/>
          <w:szCs w:val="24"/>
          <w:rtl/>
        </w:rPr>
        <w:t xml:space="preserve"> </w:t>
      </w:r>
      <w:r w:rsidR="00636DE9">
        <w:rPr>
          <w:rFonts w:cs="David" w:hint="cs"/>
          <w:sz w:val="24"/>
          <w:szCs w:val="24"/>
          <w:rtl/>
        </w:rPr>
        <w:t xml:space="preserve">על </w:t>
      </w:r>
      <w:r w:rsidR="00830BB6" w:rsidRPr="007A583E">
        <w:rPr>
          <w:rFonts w:cs="David"/>
          <w:sz w:val="24"/>
          <w:szCs w:val="24"/>
          <w:rtl/>
        </w:rPr>
        <w:t>סרבן הגט כעבריין מחזק</w:t>
      </w:r>
      <w:r w:rsidR="00636DE9">
        <w:rPr>
          <w:rFonts w:cs="David" w:hint="cs"/>
          <w:sz w:val="24"/>
          <w:szCs w:val="24"/>
          <w:rtl/>
        </w:rPr>
        <w:t>ת</w:t>
      </w:r>
      <w:r w:rsidR="00830BB6" w:rsidRPr="007A583E">
        <w:rPr>
          <w:rFonts w:cs="David"/>
          <w:sz w:val="24"/>
          <w:szCs w:val="24"/>
          <w:rtl/>
        </w:rPr>
        <w:t xml:space="preserve"> בקרב הציבור </w:t>
      </w:r>
      <w:r w:rsidR="00636DE9">
        <w:rPr>
          <w:rFonts w:cs="David" w:hint="cs"/>
          <w:sz w:val="24"/>
          <w:szCs w:val="24"/>
          <w:rtl/>
        </w:rPr>
        <w:t>את ה</w:t>
      </w:r>
      <w:r w:rsidR="00830BB6" w:rsidRPr="007A583E">
        <w:rPr>
          <w:rFonts w:cs="David"/>
          <w:sz w:val="24"/>
          <w:szCs w:val="24"/>
          <w:rtl/>
        </w:rPr>
        <w:t>תפיסה הרואה</w:t>
      </w:r>
      <w:r w:rsidR="00636DE9">
        <w:rPr>
          <w:rFonts w:cs="David"/>
          <w:sz w:val="24"/>
          <w:szCs w:val="24"/>
          <w:rtl/>
        </w:rPr>
        <w:t xml:space="preserve"> בסרבנות הגט מעשה פסול ומתועב. </w:t>
      </w:r>
      <w:r w:rsidR="00830BB6" w:rsidRPr="007A583E">
        <w:rPr>
          <w:rFonts w:cs="David"/>
          <w:sz w:val="24"/>
          <w:szCs w:val="24"/>
          <w:rtl/>
        </w:rPr>
        <w:t xml:space="preserve">כך </w:t>
      </w:r>
      <w:r w:rsidR="00636DE9">
        <w:rPr>
          <w:rFonts w:cs="David"/>
          <w:sz w:val="24"/>
          <w:szCs w:val="24"/>
          <w:rtl/>
        </w:rPr>
        <w:t xml:space="preserve">עשוי הפרסום לתרום לא רק לפתרון </w:t>
      </w:r>
      <w:r w:rsidR="00830BB6" w:rsidRPr="007A583E">
        <w:rPr>
          <w:rFonts w:cs="David"/>
          <w:sz w:val="24"/>
          <w:szCs w:val="24"/>
          <w:rtl/>
        </w:rPr>
        <w:t>מצוק</w:t>
      </w:r>
      <w:r w:rsidR="00636DE9">
        <w:rPr>
          <w:rFonts w:cs="David" w:hint="cs"/>
          <w:sz w:val="24"/>
          <w:szCs w:val="24"/>
          <w:rtl/>
        </w:rPr>
        <w:t>ת</w:t>
      </w:r>
      <w:r w:rsidR="00830BB6" w:rsidRPr="007A583E">
        <w:rPr>
          <w:rFonts w:cs="David"/>
          <w:sz w:val="24"/>
          <w:szCs w:val="24"/>
          <w:rtl/>
        </w:rPr>
        <w:t>ה של העגונה שלפנינו, אלא גם להורדת שכיחותה של סרבנות גט בעתיד.</w:t>
      </w:r>
      <w:r w:rsidR="00830BB6" w:rsidRPr="00636DE9">
        <w:rPr>
          <w:rStyle w:val="ad"/>
          <w:rtl/>
        </w:rPr>
        <w:endnoteReference w:id="5"/>
      </w:r>
    </w:p>
    <w:p w:rsidR="00830BB6" w:rsidRDefault="007A583E" w:rsidP="007A583E">
      <w:pPr>
        <w:spacing w:after="240" w:line="360" w:lineRule="auto"/>
        <w:jc w:val="both"/>
        <w:rPr>
          <w:rFonts w:cs="David"/>
          <w:sz w:val="24"/>
          <w:szCs w:val="24"/>
          <w:rtl/>
        </w:rPr>
      </w:pPr>
      <w:r>
        <w:rPr>
          <w:rFonts w:cs="David" w:hint="cs"/>
          <w:b/>
          <w:bCs/>
          <w:sz w:val="24"/>
          <w:szCs w:val="24"/>
          <w:rtl/>
        </w:rPr>
        <w:lastRenderedPageBreak/>
        <w:t xml:space="preserve">4. </w:t>
      </w:r>
      <w:r w:rsidR="00830BB6" w:rsidRPr="007A583E">
        <w:rPr>
          <w:rFonts w:cs="David"/>
          <w:b/>
          <w:bCs/>
          <w:sz w:val="24"/>
          <w:szCs w:val="24"/>
          <w:rtl/>
        </w:rPr>
        <w:t>הלבנת פנים</w:t>
      </w:r>
      <w:r>
        <w:rPr>
          <w:rFonts w:cs="David" w:hint="cs"/>
          <w:b/>
          <w:bCs/>
          <w:sz w:val="24"/>
          <w:szCs w:val="24"/>
          <w:rtl/>
        </w:rPr>
        <w:t xml:space="preserve"> </w:t>
      </w:r>
      <w:r>
        <w:rPr>
          <w:rFonts w:cs="David"/>
          <w:b/>
          <w:bCs/>
          <w:sz w:val="24"/>
          <w:szCs w:val="24"/>
          <w:rtl/>
        </w:rPr>
        <w:t>–</w:t>
      </w:r>
      <w:r>
        <w:rPr>
          <w:rFonts w:cs="David" w:hint="cs"/>
          <w:b/>
          <w:bCs/>
          <w:sz w:val="24"/>
          <w:szCs w:val="24"/>
          <w:rtl/>
        </w:rPr>
        <w:t xml:space="preserve"> </w:t>
      </w:r>
      <w:r w:rsidR="00830BB6">
        <w:rPr>
          <w:rFonts w:cs="David"/>
          <w:sz w:val="24"/>
          <w:szCs w:val="24"/>
          <w:rtl/>
        </w:rPr>
        <w:t xml:space="preserve">על אף כל האמור, בבואנו להשתמש באמצעי </w:t>
      </w:r>
      <w:r>
        <w:rPr>
          <w:rFonts w:cs="David" w:hint="cs"/>
          <w:sz w:val="24"/>
          <w:szCs w:val="24"/>
          <w:rtl/>
        </w:rPr>
        <w:t>ה</w:t>
      </w:r>
      <w:r w:rsidR="00830BB6">
        <w:rPr>
          <w:rFonts w:cs="David"/>
          <w:sz w:val="24"/>
          <w:szCs w:val="24"/>
          <w:rtl/>
        </w:rPr>
        <w:t xml:space="preserve">ביוש </w:t>
      </w:r>
      <w:r>
        <w:rPr>
          <w:rFonts w:cs="David" w:hint="cs"/>
          <w:sz w:val="24"/>
          <w:szCs w:val="24"/>
          <w:rtl/>
        </w:rPr>
        <w:t>ה</w:t>
      </w:r>
      <w:r w:rsidR="00830BB6">
        <w:rPr>
          <w:rFonts w:cs="David"/>
          <w:sz w:val="24"/>
          <w:szCs w:val="24"/>
          <w:rtl/>
        </w:rPr>
        <w:t xml:space="preserve">פומבי, עלינו לזכור את עוצמת פגיעתו הרעה. בתלמוד הבבלי </w:t>
      </w:r>
      <w:r>
        <w:rPr>
          <w:rFonts w:cs="David"/>
          <w:sz w:val="24"/>
          <w:szCs w:val="24"/>
          <w:rtl/>
        </w:rPr>
        <w:t>(בבא מציעא נח ע"ב)</w:t>
      </w:r>
      <w:r>
        <w:rPr>
          <w:rFonts w:cs="David" w:hint="cs"/>
          <w:sz w:val="24"/>
          <w:szCs w:val="24"/>
          <w:rtl/>
        </w:rPr>
        <w:t xml:space="preserve"> </w:t>
      </w:r>
      <w:r>
        <w:rPr>
          <w:rFonts w:cs="David"/>
          <w:sz w:val="24"/>
          <w:szCs w:val="24"/>
          <w:rtl/>
        </w:rPr>
        <w:t>הושוותה הלבנת פנים לרצח</w:t>
      </w:r>
      <w:r w:rsidR="00830BB6">
        <w:rPr>
          <w:rFonts w:cs="David"/>
          <w:sz w:val="24"/>
          <w:szCs w:val="24"/>
          <w:rtl/>
        </w:rPr>
        <w:t xml:space="preserve"> ו</w:t>
      </w:r>
      <w:r>
        <w:rPr>
          <w:rFonts w:cs="David" w:hint="cs"/>
          <w:sz w:val="24"/>
          <w:szCs w:val="24"/>
          <w:rtl/>
        </w:rPr>
        <w:t>במקום אחר אמרו</w:t>
      </w:r>
      <w:r>
        <w:rPr>
          <w:rFonts w:cs="David"/>
          <w:sz w:val="24"/>
          <w:szCs w:val="24"/>
          <w:rtl/>
        </w:rPr>
        <w:t xml:space="preserve"> חכמים</w:t>
      </w:r>
      <w:r>
        <w:rPr>
          <w:rFonts w:cs="David" w:hint="cs"/>
          <w:sz w:val="24"/>
          <w:szCs w:val="24"/>
          <w:rtl/>
        </w:rPr>
        <w:t xml:space="preserve"> כי</w:t>
      </w:r>
      <w:r w:rsidR="00830BB6">
        <w:rPr>
          <w:rFonts w:cs="David"/>
          <w:sz w:val="24"/>
          <w:szCs w:val="24"/>
          <w:rtl/>
        </w:rPr>
        <w:t xml:space="preserve"> "נח לו לאדם שיפיל עצמו לכבשן האש ואל ילבין פני חברו ברבים" (ברכות מג ע"ב). הסיבה לחומרתו של האיסור תוארה בספר החינוך (מצווה </w:t>
      </w:r>
      <w:proofErr w:type="spellStart"/>
      <w:r w:rsidR="00830BB6">
        <w:rPr>
          <w:rFonts w:cs="David"/>
          <w:sz w:val="24"/>
          <w:szCs w:val="24"/>
          <w:rtl/>
        </w:rPr>
        <w:t>רמ</w:t>
      </w:r>
      <w:proofErr w:type="spellEnd"/>
      <w:r w:rsidR="00830BB6">
        <w:rPr>
          <w:rFonts w:cs="David"/>
          <w:sz w:val="24"/>
          <w:szCs w:val="24"/>
          <w:rtl/>
        </w:rPr>
        <w:t>): "לפי שהבושת צער גדול לבריות, אין גדול ממנו"</w:t>
      </w:r>
      <w:r w:rsidR="00220DF4">
        <w:rPr>
          <w:rFonts w:cs="David" w:hint="cs"/>
          <w:sz w:val="24"/>
          <w:szCs w:val="24"/>
          <w:rtl/>
        </w:rPr>
        <w:t>,</w:t>
      </w:r>
      <w:r w:rsidR="00830BB6">
        <w:rPr>
          <w:rFonts w:cs="David"/>
          <w:sz w:val="24"/>
          <w:szCs w:val="24"/>
          <w:rtl/>
        </w:rPr>
        <w:t xml:space="preserve"> וביתר ביאור בלשון </w:t>
      </w:r>
      <w:proofErr w:type="spellStart"/>
      <w:r w:rsidR="00830BB6">
        <w:rPr>
          <w:rFonts w:cs="David"/>
          <w:sz w:val="24"/>
          <w:szCs w:val="24"/>
          <w:rtl/>
        </w:rPr>
        <w:t>הראי"ה</w:t>
      </w:r>
      <w:proofErr w:type="spellEnd"/>
      <w:r w:rsidR="00830BB6">
        <w:rPr>
          <w:rFonts w:cs="David"/>
          <w:sz w:val="24"/>
          <w:szCs w:val="24"/>
          <w:rtl/>
        </w:rPr>
        <w:t xml:space="preserve"> קוק: "ובנפול כבוד </w:t>
      </w:r>
      <w:proofErr w:type="spellStart"/>
      <w:r w:rsidR="00830BB6">
        <w:rPr>
          <w:rFonts w:cs="David"/>
          <w:sz w:val="24"/>
          <w:szCs w:val="24"/>
          <w:rtl/>
        </w:rPr>
        <w:t>חבירו</w:t>
      </w:r>
      <w:proofErr w:type="spellEnd"/>
      <w:r w:rsidR="00830BB6">
        <w:rPr>
          <w:rFonts w:cs="David"/>
          <w:sz w:val="24"/>
          <w:szCs w:val="24"/>
          <w:rtl/>
        </w:rPr>
        <w:t xml:space="preserve"> ברבים, כבר הוא אבוד מדרגתו וערך חייו" (עין אי"ה, ברכות, עמ' 191).</w:t>
      </w:r>
      <w:r>
        <w:rPr>
          <w:rFonts w:cs="David" w:hint="cs"/>
          <w:sz w:val="24"/>
          <w:szCs w:val="24"/>
          <w:rtl/>
        </w:rPr>
        <w:t xml:space="preserve"> </w:t>
      </w:r>
      <w:r w:rsidR="00830BB6">
        <w:rPr>
          <w:rFonts w:cs="David"/>
          <w:sz w:val="24"/>
          <w:szCs w:val="24"/>
          <w:rtl/>
        </w:rPr>
        <w:t>כמובן, כלפי הסרבן עצמו יש מקום להתיר את השימוש באמצעי הביוש,</w:t>
      </w:r>
      <w:r w:rsidR="009F00B9">
        <w:rPr>
          <w:rFonts w:cs="David" w:hint="cs"/>
          <w:sz w:val="24"/>
          <w:szCs w:val="24"/>
          <w:rtl/>
        </w:rPr>
        <w:t xml:space="preserve"> כיוון שמדובר באדם שלא ציית לפסק בית הדין,</w:t>
      </w:r>
      <w:r w:rsidR="00830BB6">
        <w:rPr>
          <w:rFonts w:cs="David"/>
          <w:sz w:val="24"/>
          <w:szCs w:val="24"/>
          <w:rtl/>
        </w:rPr>
        <w:t xml:space="preserve"> הרי הוא </w:t>
      </w:r>
      <w:r>
        <w:rPr>
          <w:rFonts w:cs="David" w:hint="cs"/>
          <w:sz w:val="24"/>
          <w:szCs w:val="24"/>
          <w:rtl/>
        </w:rPr>
        <w:t xml:space="preserve">זה </w:t>
      </w:r>
      <w:r>
        <w:rPr>
          <w:rFonts w:cs="David"/>
          <w:sz w:val="24"/>
          <w:szCs w:val="24"/>
          <w:rtl/>
        </w:rPr>
        <w:t>המבייש את עצמו בהתנהגותו הרעה</w:t>
      </w:r>
      <w:r>
        <w:rPr>
          <w:rFonts w:cs="David" w:hint="cs"/>
          <w:sz w:val="24"/>
          <w:szCs w:val="24"/>
          <w:rtl/>
        </w:rPr>
        <w:t>;</w:t>
      </w:r>
      <w:r w:rsidR="00830BB6">
        <w:rPr>
          <w:rFonts w:cs="David"/>
          <w:sz w:val="24"/>
          <w:szCs w:val="24"/>
          <w:rtl/>
        </w:rPr>
        <w:t xml:space="preserve"> ו</w:t>
      </w:r>
      <w:r>
        <w:rPr>
          <w:rFonts w:cs="David" w:hint="cs"/>
          <w:sz w:val="24"/>
          <w:szCs w:val="24"/>
          <w:rtl/>
        </w:rPr>
        <w:t xml:space="preserve">הוא אף </w:t>
      </w:r>
      <w:bookmarkStart w:id="0" w:name="_GoBack"/>
      <w:bookmarkEnd w:id="0"/>
      <w:r w:rsidR="00830BB6">
        <w:rPr>
          <w:rFonts w:cs="David"/>
          <w:sz w:val="24"/>
          <w:szCs w:val="24"/>
          <w:rtl/>
        </w:rPr>
        <w:t>יכול הוא לחזור בו ולה</w:t>
      </w:r>
      <w:r>
        <w:rPr>
          <w:rFonts w:cs="David" w:hint="cs"/>
          <w:sz w:val="24"/>
          <w:szCs w:val="24"/>
          <w:rtl/>
        </w:rPr>
        <w:t>י</w:t>
      </w:r>
      <w:r w:rsidR="00830BB6">
        <w:rPr>
          <w:rFonts w:cs="David"/>
          <w:sz w:val="24"/>
          <w:szCs w:val="24"/>
          <w:rtl/>
        </w:rPr>
        <w:t>מנע מן הביוש</w:t>
      </w:r>
      <w:r>
        <w:rPr>
          <w:rFonts w:cs="David" w:hint="cs"/>
          <w:sz w:val="24"/>
          <w:szCs w:val="24"/>
          <w:rtl/>
        </w:rPr>
        <w:t>,</w:t>
      </w:r>
      <w:r w:rsidR="00830BB6">
        <w:rPr>
          <w:rFonts w:cs="David"/>
          <w:sz w:val="24"/>
          <w:szCs w:val="24"/>
          <w:rtl/>
        </w:rPr>
        <w:t xml:space="preserve"> ומשלא עשה כך הרי הוא רשע </w:t>
      </w:r>
      <w:r>
        <w:rPr>
          <w:rFonts w:cs="David"/>
          <w:sz w:val="24"/>
          <w:szCs w:val="24"/>
          <w:rtl/>
        </w:rPr>
        <w:t>–</w:t>
      </w:r>
      <w:r w:rsidR="00830BB6">
        <w:rPr>
          <w:rFonts w:cs="David"/>
          <w:sz w:val="24"/>
          <w:szCs w:val="24"/>
          <w:rtl/>
        </w:rPr>
        <w:t xml:space="preserve"> ומצ</w:t>
      </w:r>
      <w:r>
        <w:rPr>
          <w:rFonts w:cs="David" w:hint="cs"/>
          <w:sz w:val="24"/>
          <w:szCs w:val="24"/>
          <w:rtl/>
        </w:rPr>
        <w:t>ו</w:t>
      </w:r>
      <w:r w:rsidR="00830BB6">
        <w:rPr>
          <w:rFonts w:cs="David"/>
          <w:sz w:val="24"/>
          <w:szCs w:val="24"/>
          <w:rtl/>
        </w:rPr>
        <w:t>וה לגנות הרשעים.</w:t>
      </w:r>
      <w:r w:rsidR="00830BB6" w:rsidRPr="007A583E">
        <w:rPr>
          <w:rStyle w:val="ad"/>
          <w:rtl/>
        </w:rPr>
        <w:endnoteReference w:id="6"/>
      </w:r>
      <w:r w:rsidR="00830BB6">
        <w:rPr>
          <w:rFonts w:cs="David"/>
          <w:sz w:val="24"/>
          <w:szCs w:val="24"/>
          <w:rtl/>
        </w:rPr>
        <w:t xml:space="preserve"> אלא שנשק הביוש פוגע </w:t>
      </w:r>
      <w:r>
        <w:rPr>
          <w:rFonts w:cs="David" w:hint="cs"/>
          <w:sz w:val="24"/>
          <w:szCs w:val="24"/>
          <w:rtl/>
        </w:rPr>
        <w:t xml:space="preserve">גם </w:t>
      </w:r>
      <w:r w:rsidR="00830BB6">
        <w:rPr>
          <w:rFonts w:cs="David"/>
          <w:sz w:val="24"/>
          <w:szCs w:val="24"/>
          <w:rtl/>
        </w:rPr>
        <w:t xml:space="preserve">במשפחתו </w:t>
      </w:r>
      <w:r>
        <w:rPr>
          <w:rFonts w:cs="David" w:hint="cs"/>
          <w:sz w:val="24"/>
          <w:szCs w:val="24"/>
          <w:rtl/>
        </w:rPr>
        <w:t>של הסרבן: ב</w:t>
      </w:r>
      <w:r w:rsidR="00830BB6">
        <w:rPr>
          <w:rFonts w:cs="David"/>
          <w:sz w:val="24"/>
          <w:szCs w:val="24"/>
          <w:rtl/>
        </w:rPr>
        <w:t xml:space="preserve">הוריו, </w:t>
      </w:r>
      <w:r>
        <w:rPr>
          <w:rFonts w:cs="David" w:hint="cs"/>
          <w:sz w:val="24"/>
          <w:szCs w:val="24"/>
          <w:rtl/>
        </w:rPr>
        <w:t>ב</w:t>
      </w:r>
      <w:r w:rsidR="00830BB6">
        <w:rPr>
          <w:rFonts w:cs="David"/>
          <w:sz w:val="24"/>
          <w:szCs w:val="24"/>
          <w:rtl/>
        </w:rPr>
        <w:t xml:space="preserve">אחיו ואף </w:t>
      </w:r>
      <w:r>
        <w:rPr>
          <w:rFonts w:cs="David" w:hint="cs"/>
          <w:sz w:val="24"/>
          <w:szCs w:val="24"/>
          <w:rtl/>
        </w:rPr>
        <w:t>ב</w:t>
      </w:r>
      <w:r w:rsidR="00830BB6">
        <w:rPr>
          <w:rFonts w:cs="David"/>
          <w:sz w:val="24"/>
          <w:szCs w:val="24"/>
          <w:rtl/>
        </w:rPr>
        <w:t xml:space="preserve">ילדיו – </w:t>
      </w:r>
      <w:r>
        <w:rPr>
          <w:rFonts w:cs="David" w:hint="cs"/>
          <w:sz w:val="24"/>
          <w:szCs w:val="24"/>
          <w:rtl/>
        </w:rPr>
        <w:t xml:space="preserve">והם </w:t>
      </w:r>
      <w:r>
        <w:rPr>
          <w:rFonts w:cs="David"/>
          <w:sz w:val="24"/>
          <w:szCs w:val="24"/>
          <w:rtl/>
        </w:rPr>
        <w:t>מזוהים עם מעשה הנבלה</w:t>
      </w:r>
      <w:r w:rsidR="00830BB6">
        <w:rPr>
          <w:rFonts w:cs="David"/>
          <w:sz w:val="24"/>
          <w:szCs w:val="24"/>
          <w:rtl/>
        </w:rPr>
        <w:t xml:space="preserve"> בלא ע</w:t>
      </w:r>
      <w:r>
        <w:rPr>
          <w:rFonts w:cs="David" w:hint="cs"/>
          <w:sz w:val="24"/>
          <w:szCs w:val="24"/>
          <w:rtl/>
        </w:rPr>
        <w:t>ו</w:t>
      </w:r>
      <w:r w:rsidR="00830BB6">
        <w:rPr>
          <w:rFonts w:cs="David"/>
          <w:sz w:val="24"/>
          <w:szCs w:val="24"/>
          <w:rtl/>
        </w:rPr>
        <w:t xml:space="preserve">ול בכפם. על כן, צריך בית הדין לשקול את הרווח וההפסד </w:t>
      </w:r>
      <w:r>
        <w:rPr>
          <w:rFonts w:cs="David" w:hint="cs"/>
          <w:sz w:val="24"/>
          <w:szCs w:val="24"/>
          <w:rtl/>
        </w:rPr>
        <w:t xml:space="preserve">הכרוכים </w:t>
      </w:r>
      <w:r w:rsidR="00830BB6">
        <w:rPr>
          <w:rFonts w:cs="David"/>
          <w:sz w:val="24"/>
          <w:szCs w:val="24"/>
          <w:rtl/>
        </w:rPr>
        <w:t>בשימוש בכלי זה, ולא להשתמש בו אלא לאחר שאמצע</w:t>
      </w:r>
      <w:r>
        <w:rPr>
          <w:rFonts w:cs="David"/>
          <w:sz w:val="24"/>
          <w:szCs w:val="24"/>
          <w:rtl/>
        </w:rPr>
        <w:t>י לחץ אחרים</w:t>
      </w:r>
      <w:r>
        <w:rPr>
          <w:rFonts w:cs="David" w:hint="cs"/>
          <w:sz w:val="24"/>
          <w:szCs w:val="24"/>
          <w:rtl/>
        </w:rPr>
        <w:t xml:space="preserve">, </w:t>
      </w:r>
      <w:r w:rsidR="00830BB6">
        <w:rPr>
          <w:rFonts w:cs="David"/>
          <w:sz w:val="24"/>
          <w:szCs w:val="24"/>
          <w:rtl/>
        </w:rPr>
        <w:t>קלים יותר</w:t>
      </w:r>
      <w:r>
        <w:rPr>
          <w:rFonts w:cs="David" w:hint="cs"/>
          <w:sz w:val="24"/>
          <w:szCs w:val="24"/>
          <w:rtl/>
        </w:rPr>
        <w:t xml:space="preserve">, </w:t>
      </w:r>
      <w:r w:rsidR="00830BB6">
        <w:rPr>
          <w:rFonts w:cs="David"/>
          <w:sz w:val="24"/>
          <w:szCs w:val="24"/>
          <w:rtl/>
        </w:rPr>
        <w:t xml:space="preserve">לא השיגו את </w:t>
      </w:r>
      <w:r>
        <w:rPr>
          <w:rFonts w:cs="David" w:hint="cs"/>
          <w:sz w:val="24"/>
          <w:szCs w:val="24"/>
          <w:rtl/>
        </w:rPr>
        <w:t>המטרה</w:t>
      </w:r>
      <w:r w:rsidR="00830BB6">
        <w:rPr>
          <w:rFonts w:cs="David"/>
          <w:sz w:val="24"/>
          <w:szCs w:val="24"/>
          <w:rtl/>
        </w:rPr>
        <w:t>.</w:t>
      </w:r>
      <w:r w:rsidR="00830BB6" w:rsidRPr="007A583E">
        <w:rPr>
          <w:rStyle w:val="ad"/>
          <w:rtl/>
        </w:rPr>
        <w:endnoteReference w:id="7"/>
      </w:r>
    </w:p>
    <w:p w:rsidR="00B67482" w:rsidRPr="00830BB6" w:rsidRDefault="00830BB6" w:rsidP="00220DF4">
      <w:pPr>
        <w:rPr>
          <w:rtl/>
        </w:rPr>
      </w:pPr>
      <w:r>
        <w:rPr>
          <w:rFonts w:cs="David"/>
          <w:b/>
          <w:bCs/>
          <w:sz w:val="24"/>
          <w:szCs w:val="24"/>
          <w:rtl/>
        </w:rPr>
        <w:t>לאור האמור</w:t>
      </w:r>
      <w:r w:rsidR="00961101">
        <w:rPr>
          <w:rFonts w:cs="David" w:hint="cs"/>
          <w:b/>
          <w:bCs/>
          <w:sz w:val="24"/>
          <w:szCs w:val="24"/>
          <w:rtl/>
        </w:rPr>
        <w:t xml:space="preserve">, </w:t>
      </w:r>
      <w:r>
        <w:rPr>
          <w:rFonts w:cs="David"/>
          <w:b/>
          <w:bCs/>
          <w:sz w:val="24"/>
          <w:szCs w:val="24"/>
          <w:rtl/>
        </w:rPr>
        <w:t>רבני '</w:t>
      </w:r>
      <w:proofErr w:type="spellStart"/>
      <w:r>
        <w:rPr>
          <w:rFonts w:cs="David"/>
          <w:b/>
          <w:bCs/>
          <w:sz w:val="24"/>
          <w:szCs w:val="24"/>
          <w:rtl/>
        </w:rPr>
        <w:t>צהר</w:t>
      </w:r>
      <w:proofErr w:type="spellEnd"/>
      <w:r w:rsidR="007A583E">
        <w:rPr>
          <w:rFonts w:cs="David"/>
          <w:b/>
          <w:bCs/>
          <w:sz w:val="24"/>
          <w:szCs w:val="24"/>
          <w:rtl/>
        </w:rPr>
        <w:t>' קוראים למדינה לאפשר לבתי הדין</w:t>
      </w:r>
      <w:r w:rsidR="007A583E">
        <w:rPr>
          <w:rFonts w:cs="David" w:hint="cs"/>
          <w:b/>
          <w:bCs/>
          <w:sz w:val="24"/>
          <w:szCs w:val="24"/>
          <w:rtl/>
        </w:rPr>
        <w:t xml:space="preserve"> (באמצעות </w:t>
      </w:r>
      <w:r w:rsidR="007A583E">
        <w:rPr>
          <w:rFonts w:cs="David"/>
          <w:b/>
          <w:bCs/>
          <w:sz w:val="24"/>
          <w:szCs w:val="24"/>
          <w:rtl/>
        </w:rPr>
        <w:t>חקיקה מתאימה</w:t>
      </w:r>
      <w:r w:rsidR="007A583E">
        <w:rPr>
          <w:rFonts w:cs="David" w:hint="cs"/>
          <w:b/>
          <w:bCs/>
          <w:sz w:val="24"/>
          <w:szCs w:val="24"/>
          <w:rtl/>
        </w:rPr>
        <w:t>)</w:t>
      </w:r>
      <w:r>
        <w:rPr>
          <w:rFonts w:cs="David"/>
          <w:b/>
          <w:bCs/>
          <w:sz w:val="24"/>
          <w:szCs w:val="24"/>
          <w:rtl/>
        </w:rPr>
        <w:t xml:space="preserve"> לפרסם את פרטיהם</w:t>
      </w:r>
      <w:r w:rsidR="007A583E">
        <w:rPr>
          <w:rFonts w:cs="David" w:hint="cs"/>
          <w:b/>
          <w:bCs/>
          <w:sz w:val="24"/>
          <w:szCs w:val="24"/>
          <w:rtl/>
        </w:rPr>
        <w:t xml:space="preserve"> האישיים</w:t>
      </w:r>
      <w:r w:rsidR="007A583E">
        <w:rPr>
          <w:rFonts w:cs="David"/>
          <w:b/>
          <w:bCs/>
          <w:sz w:val="24"/>
          <w:szCs w:val="24"/>
          <w:rtl/>
        </w:rPr>
        <w:t xml:space="preserve"> של סרבני גט</w:t>
      </w:r>
      <w:r w:rsidR="007A583E">
        <w:rPr>
          <w:rFonts w:cs="David" w:hint="cs"/>
          <w:b/>
          <w:bCs/>
          <w:sz w:val="24"/>
          <w:szCs w:val="24"/>
          <w:rtl/>
        </w:rPr>
        <w:t>. כמו כן קוראים רבני '</w:t>
      </w:r>
      <w:proofErr w:type="spellStart"/>
      <w:r w:rsidR="007A583E">
        <w:rPr>
          <w:rFonts w:cs="David" w:hint="cs"/>
          <w:b/>
          <w:bCs/>
          <w:sz w:val="24"/>
          <w:szCs w:val="24"/>
          <w:rtl/>
        </w:rPr>
        <w:t>צהר</w:t>
      </w:r>
      <w:proofErr w:type="spellEnd"/>
      <w:r w:rsidR="007A583E">
        <w:rPr>
          <w:rFonts w:cs="David" w:hint="cs"/>
          <w:b/>
          <w:bCs/>
          <w:sz w:val="24"/>
          <w:szCs w:val="24"/>
          <w:rtl/>
        </w:rPr>
        <w:t>'</w:t>
      </w:r>
      <w:r w:rsidR="007A583E">
        <w:rPr>
          <w:rFonts w:cs="David"/>
          <w:b/>
          <w:bCs/>
          <w:sz w:val="24"/>
          <w:szCs w:val="24"/>
          <w:rtl/>
        </w:rPr>
        <w:t xml:space="preserve"> </w:t>
      </w:r>
      <w:r>
        <w:rPr>
          <w:rFonts w:cs="David"/>
          <w:b/>
          <w:bCs/>
          <w:sz w:val="24"/>
          <w:szCs w:val="24"/>
          <w:rtl/>
        </w:rPr>
        <w:t>לבתי הדין להשתמש באמצעי זה באופן מושכל וראוי.</w:t>
      </w:r>
    </w:p>
    <w:sectPr w:rsidR="00B67482" w:rsidRPr="00830BB6" w:rsidSect="00FB3DA8">
      <w:headerReference w:type="even" r:id="rId8"/>
      <w:headerReference w:type="default" r:id="rId9"/>
      <w:footerReference w:type="default" r:id="rId10"/>
      <w:endnotePr>
        <w:numFmt w:val="decimal"/>
      </w:endnotePr>
      <w:pgSz w:w="11906" w:h="16838"/>
      <w:pgMar w:top="2127" w:right="1080" w:bottom="1276" w:left="1080" w:header="851" w:footer="237" w:gutter="0"/>
      <w:cols w:space="720"/>
      <w:bidi/>
      <w:rtlGutter/>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4178" w:rsidRDefault="00CB4178">
      <w:r>
        <w:separator/>
      </w:r>
    </w:p>
  </w:endnote>
  <w:endnote w:type="continuationSeparator" w:id="0">
    <w:p w:rsidR="00CB4178" w:rsidRDefault="00CB4178">
      <w:r>
        <w:continuationSeparator/>
      </w:r>
    </w:p>
  </w:endnote>
  <w:endnote w:id="1">
    <w:p w:rsidR="0031320E" w:rsidRDefault="0031320E" w:rsidP="00830BB6">
      <w:pPr>
        <w:pStyle w:val="ae"/>
        <w:rPr>
          <w:rtl/>
        </w:rPr>
      </w:pPr>
      <w:r>
        <w:rPr>
          <w:rStyle w:val="af0"/>
        </w:rPr>
        <w:endnoteRef/>
      </w:r>
      <w:r>
        <w:rPr>
          <w:rtl/>
        </w:rPr>
        <w:t xml:space="preserve"> </w:t>
      </w:r>
      <w:r>
        <w:rPr>
          <w:rFonts w:hint="cs"/>
          <w:rtl/>
        </w:rPr>
        <w:t>ראו משנה תורה, הלכות אישות, פרק יד, הלכה ח.</w:t>
      </w:r>
    </w:p>
  </w:endnote>
  <w:endnote w:id="2">
    <w:p w:rsidR="0031320E" w:rsidRDefault="0031320E" w:rsidP="00830BB6">
      <w:pPr>
        <w:pStyle w:val="ae"/>
      </w:pPr>
      <w:r>
        <w:rPr>
          <w:rStyle w:val="af0"/>
        </w:rPr>
        <w:endnoteRef/>
      </w:r>
      <w:r>
        <w:rPr>
          <w:rtl/>
        </w:rPr>
        <w:t xml:space="preserve"> </w:t>
      </w:r>
      <w:r>
        <w:rPr>
          <w:rFonts w:hint="cs"/>
          <w:rtl/>
        </w:rPr>
        <w:t>ראו שו"ת יביע אומר, חלק ו, סימן ג.</w:t>
      </w:r>
    </w:p>
  </w:endnote>
  <w:endnote w:id="3">
    <w:p w:rsidR="0031320E" w:rsidRDefault="0031320E" w:rsidP="00636DE9">
      <w:pPr>
        <w:pStyle w:val="ae"/>
      </w:pPr>
      <w:r>
        <w:rPr>
          <w:rStyle w:val="af0"/>
        </w:rPr>
        <w:endnoteRef/>
      </w:r>
      <w:r>
        <w:rPr>
          <w:rtl/>
        </w:rPr>
        <w:t xml:space="preserve"> </w:t>
      </w:r>
      <w:r>
        <w:rPr>
          <w:rFonts w:hint="cs"/>
          <w:rtl/>
        </w:rPr>
        <w:t>ל</w:t>
      </w:r>
      <w:r w:rsidR="00636DE9">
        <w:rPr>
          <w:rFonts w:hint="cs"/>
          <w:rtl/>
        </w:rPr>
        <w:t xml:space="preserve">גבי מידת הפעלתם של הרחקות דרבנו </w:t>
      </w:r>
      <w:r>
        <w:rPr>
          <w:rFonts w:hint="cs"/>
          <w:rtl/>
        </w:rPr>
        <w:t>ת</w:t>
      </w:r>
      <w:r w:rsidR="00636DE9">
        <w:rPr>
          <w:rFonts w:hint="cs"/>
          <w:rtl/>
        </w:rPr>
        <w:t>ם בבתי הדין</w:t>
      </w:r>
      <w:r>
        <w:rPr>
          <w:rFonts w:hint="cs"/>
          <w:rtl/>
        </w:rPr>
        <w:t xml:space="preserve"> כיום, ראו שו"ת עטרת דבורה</w:t>
      </w:r>
      <w:r w:rsidR="00636DE9">
        <w:rPr>
          <w:rFonts w:hint="cs"/>
          <w:rtl/>
        </w:rPr>
        <w:t>, חלק ב</w:t>
      </w:r>
      <w:r>
        <w:rPr>
          <w:rFonts w:hint="cs"/>
          <w:rtl/>
        </w:rPr>
        <w:t xml:space="preserve">, עמ' 517 ואילך. </w:t>
      </w:r>
    </w:p>
  </w:endnote>
  <w:endnote w:id="4">
    <w:p w:rsidR="0031320E" w:rsidRDefault="0031320E" w:rsidP="00220DF4">
      <w:pPr>
        <w:pStyle w:val="ae"/>
        <w:rPr>
          <w:rtl/>
        </w:rPr>
      </w:pPr>
      <w:r>
        <w:rPr>
          <w:rStyle w:val="af0"/>
        </w:rPr>
        <w:endnoteRef/>
      </w:r>
      <w:r>
        <w:rPr>
          <w:rtl/>
        </w:rPr>
        <w:t xml:space="preserve"> </w:t>
      </w:r>
      <w:r>
        <w:rPr>
          <w:rFonts w:hint="cs"/>
          <w:rtl/>
        </w:rPr>
        <w:t xml:space="preserve">כנגד פרסומו </w:t>
      </w:r>
      <w:r w:rsidR="00636DE9">
        <w:rPr>
          <w:rFonts w:hint="cs"/>
          <w:rtl/>
        </w:rPr>
        <w:t>של אדם כסרבן גט ברשתות החברתיות ניתן לטעון</w:t>
      </w:r>
      <w:r>
        <w:rPr>
          <w:rFonts w:hint="cs"/>
          <w:rtl/>
        </w:rPr>
        <w:t xml:space="preserve"> ש</w:t>
      </w:r>
      <w:r w:rsidR="00636DE9">
        <w:rPr>
          <w:rFonts w:hint="cs"/>
          <w:rtl/>
        </w:rPr>
        <w:t xml:space="preserve">קולו של </w:t>
      </w:r>
      <w:r>
        <w:rPr>
          <w:rFonts w:hint="cs"/>
          <w:rtl/>
        </w:rPr>
        <w:t xml:space="preserve">פרסום זה </w:t>
      </w:r>
      <w:r w:rsidR="00413F53">
        <w:rPr>
          <w:rFonts w:hint="cs"/>
          <w:rtl/>
        </w:rPr>
        <w:t xml:space="preserve">יוצא בעולם כולו, ואילו את </w:t>
      </w:r>
      <w:r>
        <w:rPr>
          <w:rFonts w:hint="cs"/>
          <w:rtl/>
        </w:rPr>
        <w:t xml:space="preserve">הרחקות דרבנו תם </w:t>
      </w:r>
      <w:r w:rsidR="00413F53">
        <w:rPr>
          <w:rFonts w:hint="cs"/>
          <w:rtl/>
        </w:rPr>
        <w:t xml:space="preserve">סייגו </w:t>
      </w:r>
      <w:r>
        <w:rPr>
          <w:rFonts w:hint="cs"/>
          <w:rtl/>
        </w:rPr>
        <w:t xml:space="preserve">חלק מהפוסקים </w:t>
      </w:r>
      <w:r w:rsidR="00413F53">
        <w:rPr>
          <w:rFonts w:hint="cs"/>
          <w:rtl/>
        </w:rPr>
        <w:t>באומרם כי הסרבן "</w:t>
      </w:r>
      <w:r>
        <w:rPr>
          <w:rFonts w:hint="cs"/>
          <w:rtl/>
        </w:rPr>
        <w:t xml:space="preserve">יכול </w:t>
      </w:r>
      <w:proofErr w:type="spellStart"/>
      <w:r>
        <w:rPr>
          <w:rFonts w:hint="cs"/>
          <w:rtl/>
        </w:rPr>
        <w:t>להנצל</w:t>
      </w:r>
      <w:proofErr w:type="spellEnd"/>
      <w:r>
        <w:rPr>
          <w:rFonts w:hint="cs"/>
          <w:rtl/>
        </w:rPr>
        <w:t xml:space="preserve"> מזה לילך לעיר אחרת</w:t>
      </w:r>
      <w:r w:rsidR="00413F53">
        <w:rPr>
          <w:rFonts w:hint="cs"/>
          <w:rtl/>
        </w:rPr>
        <w:t>"</w:t>
      </w:r>
      <w:r w:rsidR="00220DF4">
        <w:rPr>
          <w:rFonts w:hint="cs"/>
          <w:rtl/>
        </w:rPr>
        <w:t xml:space="preserve"> (ביאור </w:t>
      </w:r>
      <w:proofErr w:type="spellStart"/>
      <w:r w:rsidR="00220DF4">
        <w:rPr>
          <w:rFonts w:hint="cs"/>
          <w:rtl/>
        </w:rPr>
        <w:t>הגר"א</w:t>
      </w:r>
      <w:proofErr w:type="spellEnd"/>
      <w:r w:rsidR="00220DF4">
        <w:rPr>
          <w:rFonts w:hint="cs"/>
          <w:rtl/>
        </w:rPr>
        <w:t xml:space="preserve">, אבן העזר, סימן </w:t>
      </w:r>
      <w:proofErr w:type="spellStart"/>
      <w:r w:rsidR="00220DF4">
        <w:rPr>
          <w:rFonts w:hint="cs"/>
          <w:rtl/>
        </w:rPr>
        <w:t>קנד</w:t>
      </w:r>
      <w:proofErr w:type="spellEnd"/>
      <w:r w:rsidR="00220DF4">
        <w:rPr>
          <w:rFonts w:hint="cs"/>
          <w:rtl/>
        </w:rPr>
        <w:t xml:space="preserve">, </w:t>
      </w:r>
      <w:proofErr w:type="spellStart"/>
      <w:r w:rsidR="00220DF4">
        <w:rPr>
          <w:rFonts w:hint="cs"/>
          <w:rtl/>
        </w:rPr>
        <w:t>ס"ק</w:t>
      </w:r>
      <w:proofErr w:type="spellEnd"/>
      <w:r w:rsidR="00220DF4">
        <w:rPr>
          <w:rFonts w:hint="cs"/>
          <w:rtl/>
        </w:rPr>
        <w:t xml:space="preserve"> </w:t>
      </w:r>
      <w:proofErr w:type="spellStart"/>
      <w:r w:rsidR="00220DF4">
        <w:rPr>
          <w:rFonts w:hint="cs"/>
          <w:rtl/>
        </w:rPr>
        <w:t>סז</w:t>
      </w:r>
      <w:proofErr w:type="spellEnd"/>
      <w:r w:rsidR="00220DF4">
        <w:rPr>
          <w:rFonts w:hint="cs"/>
          <w:rtl/>
        </w:rPr>
        <w:t>)</w:t>
      </w:r>
      <w:r w:rsidR="00413F53">
        <w:rPr>
          <w:rFonts w:hint="cs"/>
          <w:rtl/>
        </w:rPr>
        <w:t xml:space="preserve"> וכך לא יהיה בסנקציות משום </w:t>
      </w:r>
      <w:r>
        <w:rPr>
          <w:rFonts w:hint="cs"/>
          <w:rtl/>
        </w:rPr>
        <w:t>'גט מעושה'. כנגד טענה</w:t>
      </w:r>
      <w:r w:rsidR="00413F53">
        <w:rPr>
          <w:rFonts w:hint="cs"/>
          <w:rtl/>
        </w:rPr>
        <w:t xml:space="preserve"> זו אפשר לציין שהרב אוריאל לביא</w:t>
      </w:r>
      <w:r>
        <w:rPr>
          <w:rFonts w:hint="cs"/>
          <w:rtl/>
        </w:rPr>
        <w:t xml:space="preserve"> </w:t>
      </w:r>
      <w:r w:rsidR="00413F53">
        <w:rPr>
          <w:rFonts w:hint="cs"/>
          <w:rtl/>
        </w:rPr>
        <w:t xml:space="preserve">(לעיל הערה קודמת, </w:t>
      </w:r>
      <w:r>
        <w:rPr>
          <w:rFonts w:hint="cs"/>
          <w:rtl/>
        </w:rPr>
        <w:t>עמ'</w:t>
      </w:r>
      <w:r w:rsidR="00413F53">
        <w:rPr>
          <w:rFonts w:hint="cs"/>
          <w:rtl/>
        </w:rPr>
        <w:t>543</w:t>
      </w:r>
      <w:r w:rsidR="00413F53">
        <w:rPr>
          <w:rtl/>
        </w:rPr>
        <w:t>–</w:t>
      </w:r>
      <w:r w:rsidR="00413F53">
        <w:rPr>
          <w:rFonts w:hint="cs"/>
          <w:rtl/>
        </w:rPr>
        <w:t>544)</w:t>
      </w:r>
      <w:r>
        <w:rPr>
          <w:rFonts w:hint="cs"/>
          <w:rtl/>
        </w:rPr>
        <w:t xml:space="preserve"> מסיק שסנקציות שא</w:t>
      </w:r>
      <w:r w:rsidR="00220DF4">
        <w:rPr>
          <w:rFonts w:hint="cs"/>
          <w:rtl/>
        </w:rPr>
        <w:t>ינן מובילות לפגיעה בגופו של אדם</w:t>
      </w:r>
      <w:r>
        <w:rPr>
          <w:rFonts w:hint="cs"/>
          <w:rtl/>
        </w:rPr>
        <w:t xml:space="preserve"> אינן נחשבות לכפ</w:t>
      </w:r>
      <w:r w:rsidR="00413F53">
        <w:rPr>
          <w:rFonts w:hint="cs"/>
          <w:rtl/>
        </w:rPr>
        <w:t>י</w:t>
      </w:r>
      <w:r>
        <w:rPr>
          <w:rFonts w:hint="cs"/>
          <w:rtl/>
        </w:rPr>
        <w:t>יה</w:t>
      </w:r>
      <w:r w:rsidR="00413F53">
        <w:rPr>
          <w:rFonts w:hint="cs"/>
          <w:rtl/>
        </w:rPr>
        <w:t xml:space="preserve"> אסורה,</w:t>
      </w:r>
      <w:r>
        <w:rPr>
          <w:rFonts w:hint="cs"/>
          <w:rtl/>
        </w:rPr>
        <w:t xml:space="preserve"> אף אם </w:t>
      </w:r>
      <w:r w:rsidR="00413F53">
        <w:rPr>
          <w:rFonts w:hint="cs"/>
          <w:rtl/>
        </w:rPr>
        <w:t xml:space="preserve">הסרבן </w:t>
      </w:r>
      <w:r>
        <w:rPr>
          <w:rFonts w:hint="cs"/>
          <w:rtl/>
        </w:rPr>
        <w:t>אינו יכול לה</w:t>
      </w:r>
      <w:r w:rsidR="00413F53">
        <w:rPr>
          <w:rFonts w:hint="cs"/>
          <w:rtl/>
        </w:rPr>
        <w:t xml:space="preserve">ימלט מהן. </w:t>
      </w:r>
      <w:r>
        <w:rPr>
          <w:rFonts w:hint="cs"/>
          <w:rtl/>
        </w:rPr>
        <w:t xml:space="preserve">נוסף </w:t>
      </w:r>
      <w:r w:rsidR="00413F53">
        <w:rPr>
          <w:rFonts w:hint="cs"/>
          <w:rtl/>
        </w:rPr>
        <w:t>ע</w:t>
      </w:r>
      <w:r>
        <w:rPr>
          <w:rFonts w:hint="cs"/>
          <w:rtl/>
        </w:rPr>
        <w:t>ל</w:t>
      </w:r>
      <w:r w:rsidR="00413F53">
        <w:rPr>
          <w:rFonts w:hint="cs"/>
          <w:rtl/>
        </w:rPr>
        <w:t xml:space="preserve"> כך, ישנם מקרים קיצוניים</w:t>
      </w:r>
      <w:r>
        <w:rPr>
          <w:rFonts w:hint="cs"/>
          <w:rtl/>
        </w:rPr>
        <w:t xml:space="preserve"> </w:t>
      </w:r>
      <w:r w:rsidR="00413F53">
        <w:rPr>
          <w:rFonts w:hint="cs"/>
          <w:rtl/>
        </w:rPr>
        <w:t>ש</w:t>
      </w:r>
      <w:r>
        <w:rPr>
          <w:rFonts w:hint="cs"/>
          <w:rtl/>
        </w:rPr>
        <w:t>בהם בית הדין פוסק שב</w:t>
      </w:r>
      <w:r w:rsidR="00413F53">
        <w:rPr>
          <w:rFonts w:hint="cs"/>
          <w:rtl/>
        </w:rPr>
        <w:t xml:space="preserve">אופן עקרוני ניתן לכפות את הבעל לתת </w:t>
      </w:r>
      <w:r>
        <w:rPr>
          <w:rFonts w:hint="cs"/>
          <w:rtl/>
        </w:rPr>
        <w:t xml:space="preserve">גט ואין </w:t>
      </w:r>
      <w:r w:rsidR="00413F53">
        <w:rPr>
          <w:rFonts w:hint="cs"/>
          <w:rtl/>
        </w:rPr>
        <w:t xml:space="preserve">כל </w:t>
      </w:r>
      <w:r>
        <w:rPr>
          <w:rFonts w:hint="cs"/>
          <w:rtl/>
        </w:rPr>
        <w:t>חשש ל</w:t>
      </w:r>
      <w:r w:rsidR="00413F53">
        <w:rPr>
          <w:rFonts w:hint="cs"/>
          <w:rtl/>
        </w:rPr>
        <w:t>'</w:t>
      </w:r>
      <w:r>
        <w:rPr>
          <w:rFonts w:hint="cs"/>
          <w:rtl/>
        </w:rPr>
        <w:t>גט מעושה</w:t>
      </w:r>
      <w:r w:rsidR="00413F53">
        <w:rPr>
          <w:rFonts w:hint="cs"/>
          <w:rtl/>
        </w:rPr>
        <w:t xml:space="preserve">'. החוק המוצע עתה נותן אפוא </w:t>
      </w:r>
      <w:r>
        <w:rPr>
          <w:rFonts w:hint="cs"/>
          <w:rtl/>
        </w:rPr>
        <w:t>נותן</w:t>
      </w:r>
      <w:r w:rsidR="00413F53">
        <w:rPr>
          <w:rFonts w:hint="cs"/>
          <w:rtl/>
        </w:rPr>
        <w:t xml:space="preserve"> ביד בית הדין את האפשרות לנקוט </w:t>
      </w:r>
      <w:r>
        <w:rPr>
          <w:rFonts w:hint="cs"/>
          <w:rtl/>
        </w:rPr>
        <w:t xml:space="preserve">סנקציה </w:t>
      </w:r>
      <w:r w:rsidR="00413F53">
        <w:rPr>
          <w:rFonts w:hint="cs"/>
          <w:rtl/>
        </w:rPr>
        <w:t>מסוימת</w:t>
      </w:r>
      <w:r>
        <w:rPr>
          <w:rFonts w:hint="cs"/>
          <w:rtl/>
        </w:rPr>
        <w:t xml:space="preserve"> </w:t>
      </w:r>
      <w:r w:rsidR="00220DF4">
        <w:rPr>
          <w:rFonts w:hint="cs"/>
          <w:rtl/>
        </w:rPr>
        <w:t>מתוך הנחה ש</w:t>
      </w:r>
      <w:r>
        <w:rPr>
          <w:rFonts w:hint="cs"/>
          <w:rtl/>
        </w:rPr>
        <w:t>בית הדין ישתמש ב</w:t>
      </w:r>
      <w:r w:rsidR="00413F53">
        <w:rPr>
          <w:rFonts w:hint="cs"/>
          <w:rtl/>
        </w:rPr>
        <w:t>ה</w:t>
      </w:r>
      <w:r>
        <w:rPr>
          <w:rFonts w:hint="cs"/>
          <w:rtl/>
        </w:rPr>
        <w:t xml:space="preserve"> בהתאם למקרה ו</w:t>
      </w:r>
      <w:r w:rsidR="00413F53">
        <w:rPr>
          <w:rFonts w:hint="cs"/>
          <w:rtl/>
        </w:rPr>
        <w:t>על פי שורת ה</w:t>
      </w:r>
      <w:r>
        <w:rPr>
          <w:rFonts w:hint="cs"/>
          <w:rtl/>
        </w:rPr>
        <w:t>הלכה.</w:t>
      </w:r>
    </w:p>
  </w:endnote>
  <w:endnote w:id="5">
    <w:p w:rsidR="0031320E" w:rsidRDefault="0031320E" w:rsidP="00413F53">
      <w:pPr>
        <w:pStyle w:val="ae"/>
        <w:rPr>
          <w:rtl/>
        </w:rPr>
      </w:pPr>
      <w:r>
        <w:rPr>
          <w:rStyle w:val="af0"/>
        </w:rPr>
        <w:endnoteRef/>
      </w:r>
      <w:r>
        <w:rPr>
          <w:rtl/>
        </w:rPr>
        <w:t xml:space="preserve"> </w:t>
      </w:r>
      <w:r>
        <w:rPr>
          <w:rFonts w:hint="cs"/>
          <w:rtl/>
        </w:rPr>
        <w:t>מעין הדגשתה של התורה ב</w:t>
      </w:r>
      <w:r w:rsidR="00413F53">
        <w:rPr>
          <w:rFonts w:hint="cs"/>
          <w:rtl/>
        </w:rPr>
        <w:t>כמה</w:t>
      </w:r>
      <w:r>
        <w:rPr>
          <w:rFonts w:hint="cs"/>
          <w:rtl/>
        </w:rPr>
        <w:t xml:space="preserve"> מקומות כי עונשים פומביים מועילים לחינו</w:t>
      </w:r>
      <w:r w:rsidR="00636DE9">
        <w:rPr>
          <w:rFonts w:hint="cs"/>
          <w:rtl/>
        </w:rPr>
        <w:t xml:space="preserve">ך הציבור ולהרתעתו מעבירה (לדוגמה: דברים </w:t>
      </w:r>
      <w:proofErr w:type="spellStart"/>
      <w:r w:rsidR="00636DE9">
        <w:rPr>
          <w:rFonts w:hint="cs"/>
          <w:rtl/>
        </w:rPr>
        <w:t>י</w:t>
      </w:r>
      <w:r>
        <w:rPr>
          <w:rFonts w:hint="cs"/>
          <w:rtl/>
        </w:rPr>
        <w:t>ג</w:t>
      </w:r>
      <w:proofErr w:type="spellEnd"/>
      <w:r>
        <w:rPr>
          <w:rFonts w:hint="cs"/>
          <w:rtl/>
        </w:rPr>
        <w:t xml:space="preserve">, </w:t>
      </w:r>
      <w:proofErr w:type="spellStart"/>
      <w:r>
        <w:rPr>
          <w:rFonts w:hint="cs"/>
          <w:rtl/>
        </w:rPr>
        <w:t>יב</w:t>
      </w:r>
      <w:proofErr w:type="spellEnd"/>
      <w:r>
        <w:rPr>
          <w:rFonts w:hint="cs"/>
          <w:rtl/>
        </w:rPr>
        <w:t xml:space="preserve">; </w:t>
      </w:r>
      <w:r w:rsidR="00636DE9">
        <w:rPr>
          <w:rFonts w:hint="cs"/>
          <w:rtl/>
        </w:rPr>
        <w:t xml:space="preserve">שם </w:t>
      </w:r>
      <w:proofErr w:type="spellStart"/>
      <w:r w:rsidR="00636DE9">
        <w:rPr>
          <w:rFonts w:hint="cs"/>
          <w:rtl/>
        </w:rPr>
        <w:t>י</w:t>
      </w:r>
      <w:r>
        <w:rPr>
          <w:rFonts w:hint="cs"/>
          <w:rtl/>
        </w:rPr>
        <w:t>ז</w:t>
      </w:r>
      <w:proofErr w:type="spellEnd"/>
      <w:r>
        <w:rPr>
          <w:rFonts w:hint="cs"/>
          <w:rtl/>
        </w:rPr>
        <w:t xml:space="preserve">, </w:t>
      </w:r>
      <w:proofErr w:type="spellStart"/>
      <w:r>
        <w:rPr>
          <w:rFonts w:hint="cs"/>
          <w:rtl/>
        </w:rPr>
        <w:t>יג</w:t>
      </w:r>
      <w:proofErr w:type="spellEnd"/>
      <w:r>
        <w:rPr>
          <w:rFonts w:hint="cs"/>
          <w:rtl/>
        </w:rPr>
        <w:t xml:space="preserve">; </w:t>
      </w:r>
      <w:r w:rsidR="00636DE9">
        <w:rPr>
          <w:rFonts w:hint="cs"/>
          <w:rtl/>
        </w:rPr>
        <w:t xml:space="preserve">שם </w:t>
      </w:r>
      <w:proofErr w:type="spellStart"/>
      <w:r w:rsidR="00636DE9">
        <w:rPr>
          <w:rFonts w:hint="cs"/>
          <w:rtl/>
        </w:rPr>
        <w:t>י</w:t>
      </w:r>
      <w:r>
        <w:rPr>
          <w:rFonts w:hint="cs"/>
          <w:rtl/>
        </w:rPr>
        <w:t>ט</w:t>
      </w:r>
      <w:proofErr w:type="spellEnd"/>
      <w:r>
        <w:rPr>
          <w:rFonts w:hint="cs"/>
          <w:rtl/>
        </w:rPr>
        <w:t xml:space="preserve">, כ; </w:t>
      </w:r>
      <w:r w:rsidR="00636DE9">
        <w:rPr>
          <w:rFonts w:hint="cs"/>
          <w:rtl/>
        </w:rPr>
        <w:t xml:space="preserve">שם </w:t>
      </w:r>
      <w:proofErr w:type="spellStart"/>
      <w:r w:rsidR="00636DE9">
        <w:rPr>
          <w:rFonts w:hint="cs"/>
          <w:rtl/>
        </w:rPr>
        <w:t>כ</w:t>
      </w:r>
      <w:r>
        <w:rPr>
          <w:rFonts w:hint="cs"/>
          <w:rtl/>
        </w:rPr>
        <w:t>א</w:t>
      </w:r>
      <w:proofErr w:type="spellEnd"/>
      <w:r>
        <w:rPr>
          <w:rFonts w:hint="cs"/>
          <w:rtl/>
        </w:rPr>
        <w:t xml:space="preserve">, </w:t>
      </w:r>
      <w:proofErr w:type="spellStart"/>
      <w:r>
        <w:rPr>
          <w:rFonts w:hint="cs"/>
          <w:rtl/>
        </w:rPr>
        <w:t>כא</w:t>
      </w:r>
      <w:proofErr w:type="spellEnd"/>
      <w:r w:rsidR="00636DE9">
        <w:rPr>
          <w:rFonts w:hint="cs"/>
          <w:rtl/>
        </w:rPr>
        <w:t>)</w:t>
      </w:r>
      <w:r>
        <w:rPr>
          <w:rFonts w:hint="cs"/>
          <w:rtl/>
        </w:rPr>
        <w:t>. ב</w:t>
      </w:r>
      <w:r w:rsidR="00413F53">
        <w:rPr>
          <w:rFonts w:hint="cs"/>
          <w:rtl/>
        </w:rPr>
        <w:t>מקום אחד (ויקרא כ</w:t>
      </w:r>
      <w:r>
        <w:rPr>
          <w:rFonts w:hint="cs"/>
          <w:rtl/>
        </w:rPr>
        <w:t>, ד</w:t>
      </w:r>
      <w:r w:rsidR="00413F53">
        <w:rPr>
          <w:rtl/>
        </w:rPr>
        <w:t>–</w:t>
      </w:r>
      <w:r>
        <w:rPr>
          <w:rFonts w:hint="cs"/>
          <w:rtl/>
        </w:rPr>
        <w:t>ה</w:t>
      </w:r>
      <w:r w:rsidR="00413F53">
        <w:rPr>
          <w:rFonts w:hint="cs"/>
          <w:rtl/>
        </w:rPr>
        <w:t>) ה</w:t>
      </w:r>
      <w:r>
        <w:rPr>
          <w:rFonts w:hint="cs"/>
          <w:rtl/>
        </w:rPr>
        <w:t>דגישה התורה את מחויבות</w:t>
      </w:r>
      <w:r w:rsidR="00413F53">
        <w:rPr>
          <w:rFonts w:hint="cs"/>
          <w:rtl/>
        </w:rPr>
        <w:t>ו של הציבור להענ</w:t>
      </w:r>
      <w:r>
        <w:rPr>
          <w:rFonts w:hint="cs"/>
          <w:rtl/>
        </w:rPr>
        <w:t>ש</w:t>
      </w:r>
      <w:r w:rsidR="00413F53">
        <w:rPr>
          <w:rFonts w:hint="cs"/>
          <w:rtl/>
        </w:rPr>
        <w:t>ת עוברי עבירה, עד ש</w:t>
      </w:r>
      <w:r>
        <w:rPr>
          <w:rFonts w:hint="cs"/>
          <w:rtl/>
        </w:rPr>
        <w:t xml:space="preserve">במידה </w:t>
      </w:r>
      <w:r w:rsidR="00413F53">
        <w:rPr>
          <w:rFonts w:hint="cs"/>
          <w:rtl/>
        </w:rPr>
        <w:t>שהוא אינו עושה זאת הוא נחשב כמשתף</w:t>
      </w:r>
      <w:r>
        <w:rPr>
          <w:rFonts w:hint="cs"/>
          <w:rtl/>
        </w:rPr>
        <w:t xml:space="preserve"> פעולה </w:t>
      </w:r>
      <w:r w:rsidR="00413F53">
        <w:rPr>
          <w:rFonts w:hint="cs"/>
          <w:rtl/>
        </w:rPr>
        <w:t xml:space="preserve">עם העבריינים </w:t>
      </w:r>
      <w:r>
        <w:rPr>
          <w:rFonts w:hint="cs"/>
          <w:rtl/>
        </w:rPr>
        <w:t xml:space="preserve">ואף </w:t>
      </w:r>
      <w:r w:rsidR="00413F53">
        <w:rPr>
          <w:rFonts w:hint="cs"/>
          <w:rtl/>
        </w:rPr>
        <w:t xml:space="preserve">עתיד להיענש על כך </w:t>
      </w:r>
      <w:r>
        <w:rPr>
          <w:rFonts w:hint="cs"/>
          <w:rtl/>
        </w:rPr>
        <w:t>(ראו רש"י שם). תגובת הציבור כלפי העבריין</w:t>
      </w:r>
      <w:r w:rsidR="00413F53">
        <w:rPr>
          <w:rFonts w:hint="cs"/>
          <w:rtl/>
        </w:rPr>
        <w:t xml:space="preserve"> היא אפוא </w:t>
      </w:r>
      <w:r>
        <w:rPr>
          <w:rFonts w:hint="cs"/>
          <w:rtl/>
        </w:rPr>
        <w:t>נקודת מבחן לערכיו של הציבור והזדמנות להשפיע על ערכים אלו ולעצבם.</w:t>
      </w:r>
    </w:p>
  </w:endnote>
  <w:endnote w:id="6">
    <w:p w:rsidR="0031320E" w:rsidRDefault="0031320E" w:rsidP="00636DE9">
      <w:pPr>
        <w:pStyle w:val="ae"/>
      </w:pPr>
      <w:r>
        <w:rPr>
          <w:rStyle w:val="af0"/>
        </w:rPr>
        <w:endnoteRef/>
      </w:r>
      <w:r>
        <w:rPr>
          <w:rtl/>
        </w:rPr>
        <w:t xml:space="preserve"> </w:t>
      </w:r>
      <w:r>
        <w:rPr>
          <w:rFonts w:hint="cs"/>
          <w:rtl/>
        </w:rPr>
        <w:t xml:space="preserve">חפץ חיים, הלכות לשון הרע, כלל ד סעיף ח. ראו </w:t>
      </w:r>
      <w:r w:rsidR="00636DE9">
        <w:rPr>
          <w:rFonts w:hint="cs"/>
          <w:rtl/>
        </w:rPr>
        <w:t>גם דבריו החריפים של רבינו יונה (</w:t>
      </w:r>
      <w:r>
        <w:rPr>
          <w:rFonts w:hint="cs"/>
          <w:rtl/>
        </w:rPr>
        <w:t>שערי תשובה</w:t>
      </w:r>
      <w:r w:rsidR="00636DE9">
        <w:rPr>
          <w:rFonts w:hint="cs"/>
          <w:rtl/>
        </w:rPr>
        <w:t xml:space="preserve">, </w:t>
      </w:r>
      <w:r>
        <w:rPr>
          <w:rFonts w:hint="cs"/>
          <w:rtl/>
        </w:rPr>
        <w:t>שער ג</w:t>
      </w:r>
      <w:r w:rsidR="00636DE9">
        <w:rPr>
          <w:rFonts w:hint="cs"/>
          <w:rtl/>
        </w:rPr>
        <w:t>,</w:t>
      </w:r>
      <w:r>
        <w:rPr>
          <w:rFonts w:hint="cs"/>
          <w:rtl/>
        </w:rPr>
        <w:t xml:space="preserve"> סעיף ריח</w:t>
      </w:r>
      <w:r w:rsidR="00636DE9">
        <w:rPr>
          <w:rFonts w:hint="cs"/>
          <w:rtl/>
        </w:rPr>
        <w:t>)</w:t>
      </w:r>
      <w:r>
        <w:rPr>
          <w:rFonts w:hint="cs"/>
          <w:rtl/>
        </w:rPr>
        <w:t>: "האיש</w:t>
      </w:r>
      <w:r w:rsidR="00220DF4">
        <w:rPr>
          <w:rFonts w:hint="cs"/>
          <w:rtl/>
        </w:rPr>
        <w:t xml:space="preserve"> </w:t>
      </w:r>
      <w:r>
        <w:rPr>
          <w:rFonts w:hint="cs"/>
          <w:rtl/>
        </w:rPr>
        <w:t>אשר</w:t>
      </w:r>
      <w:r w:rsidR="00220DF4">
        <w:rPr>
          <w:rFonts w:hint="cs"/>
          <w:rtl/>
        </w:rPr>
        <w:t xml:space="preserve"> </w:t>
      </w:r>
      <w:r>
        <w:rPr>
          <w:rFonts w:hint="cs"/>
          <w:rtl/>
        </w:rPr>
        <w:t>תדע</w:t>
      </w:r>
      <w:r w:rsidR="00220DF4">
        <w:rPr>
          <w:rFonts w:hint="cs"/>
          <w:rtl/>
        </w:rPr>
        <w:t xml:space="preserve"> </w:t>
      </w:r>
      <w:r>
        <w:rPr>
          <w:rFonts w:hint="cs"/>
          <w:rtl/>
        </w:rPr>
        <w:t>ובחנת</w:t>
      </w:r>
      <w:r w:rsidR="00220DF4">
        <w:rPr>
          <w:rFonts w:hint="cs"/>
          <w:rtl/>
        </w:rPr>
        <w:t xml:space="preserve"> </w:t>
      </w:r>
      <w:r>
        <w:rPr>
          <w:rFonts w:hint="cs"/>
          <w:rtl/>
        </w:rPr>
        <w:t>את</w:t>
      </w:r>
      <w:r w:rsidR="00220DF4">
        <w:rPr>
          <w:rFonts w:hint="cs"/>
          <w:rtl/>
        </w:rPr>
        <w:t xml:space="preserve"> </w:t>
      </w:r>
      <w:r>
        <w:rPr>
          <w:rFonts w:hint="cs"/>
          <w:rtl/>
        </w:rPr>
        <w:t>דרכו</w:t>
      </w:r>
      <w:r w:rsidR="00220DF4">
        <w:rPr>
          <w:rFonts w:hint="cs"/>
          <w:rtl/>
        </w:rPr>
        <w:t xml:space="preserve"> </w:t>
      </w:r>
      <w:r>
        <w:rPr>
          <w:rFonts w:hint="cs"/>
          <w:rtl/>
        </w:rPr>
        <w:t>כי</w:t>
      </w:r>
      <w:r w:rsidR="00220DF4">
        <w:rPr>
          <w:rFonts w:hint="cs"/>
          <w:rtl/>
        </w:rPr>
        <w:t xml:space="preserve"> </w:t>
      </w:r>
      <w:r>
        <w:rPr>
          <w:rFonts w:hint="cs"/>
          <w:rtl/>
        </w:rPr>
        <w:t>אין פחד</w:t>
      </w:r>
      <w:r w:rsidR="00220DF4">
        <w:rPr>
          <w:rFonts w:hint="cs"/>
          <w:rtl/>
        </w:rPr>
        <w:t xml:space="preserve"> </w:t>
      </w:r>
      <w:proofErr w:type="spellStart"/>
      <w:r>
        <w:rPr>
          <w:rFonts w:hint="cs"/>
          <w:rtl/>
        </w:rPr>
        <w:t>אלקים</w:t>
      </w:r>
      <w:proofErr w:type="spellEnd"/>
      <w:r>
        <w:rPr>
          <w:rFonts w:hint="cs"/>
          <w:rtl/>
        </w:rPr>
        <w:t xml:space="preserve"> לנגד עיניו</w:t>
      </w:r>
      <w:r w:rsidR="00220DF4">
        <w:rPr>
          <w:rFonts w:hint="cs"/>
          <w:rtl/>
        </w:rPr>
        <w:t xml:space="preserve"> </w:t>
      </w:r>
      <w:r>
        <w:rPr>
          <w:rFonts w:hint="cs"/>
          <w:rtl/>
        </w:rPr>
        <w:t xml:space="preserve">ותמיד </w:t>
      </w:r>
      <w:proofErr w:type="spellStart"/>
      <w:r>
        <w:rPr>
          <w:rFonts w:hint="cs"/>
          <w:rtl/>
        </w:rPr>
        <w:t>יתיצב</w:t>
      </w:r>
      <w:proofErr w:type="spellEnd"/>
      <w:r>
        <w:rPr>
          <w:rFonts w:hint="cs"/>
          <w:rtl/>
        </w:rPr>
        <w:t xml:space="preserve"> על דרך לא טוב, מצווה</w:t>
      </w:r>
      <w:r w:rsidR="00220DF4">
        <w:rPr>
          <w:rFonts w:hint="cs"/>
          <w:rtl/>
        </w:rPr>
        <w:t xml:space="preserve"> </w:t>
      </w:r>
      <w:r>
        <w:rPr>
          <w:rFonts w:hint="cs"/>
          <w:rtl/>
        </w:rPr>
        <w:t>לספר</w:t>
      </w:r>
      <w:r w:rsidR="00220DF4">
        <w:rPr>
          <w:rFonts w:hint="cs"/>
          <w:rtl/>
        </w:rPr>
        <w:t xml:space="preserve"> </w:t>
      </w:r>
      <w:r>
        <w:rPr>
          <w:rFonts w:hint="cs"/>
          <w:rtl/>
        </w:rPr>
        <w:t>בגנותו לגלות</w:t>
      </w:r>
      <w:r w:rsidR="00220DF4">
        <w:rPr>
          <w:rFonts w:hint="cs"/>
          <w:rtl/>
        </w:rPr>
        <w:t xml:space="preserve"> </w:t>
      </w:r>
      <w:r>
        <w:rPr>
          <w:rFonts w:hint="cs"/>
          <w:rtl/>
        </w:rPr>
        <w:t>על חטאותיו</w:t>
      </w:r>
      <w:r w:rsidR="00220DF4">
        <w:rPr>
          <w:rFonts w:hint="cs"/>
          <w:rtl/>
        </w:rPr>
        <w:t xml:space="preserve"> </w:t>
      </w:r>
      <w:r>
        <w:rPr>
          <w:rFonts w:hint="cs"/>
          <w:rtl/>
        </w:rPr>
        <w:t>ולהבאיש</w:t>
      </w:r>
      <w:r w:rsidR="00220DF4">
        <w:rPr>
          <w:rFonts w:hint="cs"/>
          <w:rtl/>
        </w:rPr>
        <w:t xml:space="preserve"> </w:t>
      </w:r>
      <w:r>
        <w:rPr>
          <w:rFonts w:hint="cs"/>
          <w:rtl/>
        </w:rPr>
        <w:t xml:space="preserve"> בעלי</w:t>
      </w:r>
      <w:r w:rsidR="00220DF4">
        <w:rPr>
          <w:rFonts w:hint="cs"/>
          <w:rtl/>
        </w:rPr>
        <w:t xml:space="preserve"> </w:t>
      </w:r>
      <w:r>
        <w:rPr>
          <w:rFonts w:hint="cs"/>
          <w:rtl/>
        </w:rPr>
        <w:t>עבירות</w:t>
      </w:r>
      <w:r w:rsidR="00220DF4">
        <w:rPr>
          <w:rFonts w:hint="cs"/>
          <w:rtl/>
        </w:rPr>
        <w:t xml:space="preserve"> </w:t>
      </w:r>
      <w:r>
        <w:rPr>
          <w:rFonts w:hint="cs"/>
          <w:rtl/>
        </w:rPr>
        <w:t>בעיני</w:t>
      </w:r>
      <w:r w:rsidR="00220DF4">
        <w:rPr>
          <w:rFonts w:hint="cs"/>
          <w:rtl/>
        </w:rPr>
        <w:t xml:space="preserve"> </w:t>
      </w:r>
      <w:r>
        <w:rPr>
          <w:rFonts w:hint="cs"/>
          <w:rtl/>
        </w:rPr>
        <w:t>בני</w:t>
      </w:r>
      <w:r w:rsidR="00220DF4">
        <w:rPr>
          <w:rFonts w:hint="cs"/>
          <w:rtl/>
        </w:rPr>
        <w:t xml:space="preserve"> </w:t>
      </w:r>
      <w:r>
        <w:rPr>
          <w:rFonts w:hint="cs"/>
          <w:rtl/>
        </w:rPr>
        <w:t>אדם, ולמען</w:t>
      </w:r>
      <w:r w:rsidR="00220DF4">
        <w:rPr>
          <w:rFonts w:hint="cs"/>
          <w:rtl/>
        </w:rPr>
        <w:t xml:space="preserve"> ת</w:t>
      </w:r>
      <w:r>
        <w:rPr>
          <w:rFonts w:hint="cs"/>
          <w:rtl/>
        </w:rPr>
        <w:t>ג</w:t>
      </w:r>
      <w:r w:rsidR="00220DF4">
        <w:rPr>
          <w:rFonts w:hint="cs"/>
          <w:rtl/>
        </w:rPr>
        <w:t>ע</w:t>
      </w:r>
      <w:r>
        <w:rPr>
          <w:rFonts w:hint="cs"/>
          <w:rtl/>
        </w:rPr>
        <w:t>ל</w:t>
      </w:r>
      <w:r w:rsidR="00220DF4">
        <w:rPr>
          <w:rFonts w:hint="cs"/>
          <w:rtl/>
        </w:rPr>
        <w:t xml:space="preserve"> </w:t>
      </w:r>
      <w:r>
        <w:rPr>
          <w:rFonts w:hint="cs"/>
          <w:rtl/>
        </w:rPr>
        <w:t>נפש</w:t>
      </w:r>
      <w:r w:rsidR="00220DF4">
        <w:rPr>
          <w:rFonts w:hint="cs"/>
          <w:rtl/>
        </w:rPr>
        <w:t xml:space="preserve"> </w:t>
      </w:r>
      <w:r>
        <w:rPr>
          <w:rFonts w:hint="cs"/>
          <w:rtl/>
        </w:rPr>
        <w:t>השומעים</w:t>
      </w:r>
      <w:r w:rsidR="00220DF4">
        <w:rPr>
          <w:rFonts w:hint="cs"/>
          <w:rtl/>
        </w:rPr>
        <w:t xml:space="preserve"> </w:t>
      </w:r>
      <w:r>
        <w:rPr>
          <w:rFonts w:hint="cs"/>
          <w:rtl/>
        </w:rPr>
        <w:t>את</w:t>
      </w:r>
      <w:r w:rsidR="00220DF4">
        <w:rPr>
          <w:rFonts w:hint="cs"/>
          <w:rtl/>
        </w:rPr>
        <w:t xml:space="preserve"> </w:t>
      </w:r>
      <w:r>
        <w:rPr>
          <w:rFonts w:hint="cs"/>
          <w:rtl/>
        </w:rPr>
        <w:t>המעשים</w:t>
      </w:r>
      <w:r w:rsidR="00220DF4">
        <w:rPr>
          <w:rFonts w:hint="cs"/>
          <w:rtl/>
        </w:rPr>
        <w:t xml:space="preserve"> </w:t>
      </w:r>
      <w:r>
        <w:rPr>
          <w:rFonts w:hint="cs"/>
          <w:rtl/>
        </w:rPr>
        <w:t>הרעים".</w:t>
      </w:r>
    </w:p>
  </w:endnote>
  <w:endnote w:id="7">
    <w:p w:rsidR="0031320E" w:rsidRDefault="0031320E" w:rsidP="00220DF4">
      <w:pPr>
        <w:pStyle w:val="ae"/>
      </w:pPr>
      <w:r>
        <w:rPr>
          <w:rStyle w:val="af0"/>
        </w:rPr>
        <w:endnoteRef/>
      </w:r>
      <w:r>
        <w:rPr>
          <w:rtl/>
        </w:rPr>
        <w:t xml:space="preserve"> </w:t>
      </w:r>
      <w:r>
        <w:rPr>
          <w:rFonts w:hint="cs"/>
          <w:rtl/>
        </w:rPr>
        <w:t>יש מקום להעיר כאן לבעיה נוספת וכללית יותר</w:t>
      </w:r>
      <w:r w:rsidR="00413F53">
        <w:rPr>
          <w:rFonts w:hint="cs"/>
          <w:rtl/>
        </w:rPr>
        <w:t>:</w:t>
      </w:r>
      <w:r>
        <w:rPr>
          <w:rFonts w:hint="cs"/>
          <w:rtl/>
        </w:rPr>
        <w:t xml:space="preserve"> </w:t>
      </w:r>
      <w:r w:rsidR="00413F53">
        <w:rPr>
          <w:rFonts w:hint="cs"/>
          <w:rtl/>
        </w:rPr>
        <w:t xml:space="preserve">מידת </w:t>
      </w:r>
      <w:r>
        <w:rPr>
          <w:rFonts w:hint="cs"/>
          <w:rtl/>
        </w:rPr>
        <w:t>יעילותו של נשק הביוש תלוי</w:t>
      </w:r>
      <w:r w:rsidR="00413F53">
        <w:rPr>
          <w:rFonts w:hint="cs"/>
          <w:rtl/>
        </w:rPr>
        <w:t>ה</w:t>
      </w:r>
      <w:r>
        <w:rPr>
          <w:rFonts w:hint="cs"/>
          <w:rtl/>
        </w:rPr>
        <w:t xml:space="preserve"> </w:t>
      </w:r>
      <w:r w:rsidR="00413F53">
        <w:rPr>
          <w:rFonts w:hint="cs"/>
          <w:rtl/>
        </w:rPr>
        <w:t>גם בתדירות השימוש בו. דרכו של עולם היא</w:t>
      </w:r>
      <w:r>
        <w:rPr>
          <w:rFonts w:hint="cs"/>
          <w:rtl/>
        </w:rPr>
        <w:t xml:space="preserve"> שדברים הקורים </w:t>
      </w:r>
      <w:r w:rsidR="00413F53">
        <w:rPr>
          <w:rFonts w:hint="cs"/>
          <w:rtl/>
        </w:rPr>
        <w:t>באופן תדיר אינם מעוררים את אותה תהודה</w:t>
      </w:r>
      <w:r>
        <w:rPr>
          <w:rFonts w:hint="cs"/>
          <w:rtl/>
        </w:rPr>
        <w:t xml:space="preserve"> המתעורר</w:t>
      </w:r>
      <w:r w:rsidR="00413F53">
        <w:rPr>
          <w:rFonts w:hint="cs"/>
          <w:rtl/>
        </w:rPr>
        <w:t>ת</w:t>
      </w:r>
      <w:r>
        <w:rPr>
          <w:rFonts w:hint="cs"/>
          <w:rtl/>
        </w:rPr>
        <w:t xml:space="preserve"> ב</w:t>
      </w:r>
      <w:r w:rsidR="00413F53">
        <w:rPr>
          <w:rFonts w:hint="cs"/>
          <w:rtl/>
        </w:rPr>
        <w:t xml:space="preserve">עת התרחשותו של </w:t>
      </w:r>
      <w:r>
        <w:rPr>
          <w:rFonts w:hint="cs"/>
          <w:rtl/>
        </w:rPr>
        <w:t xml:space="preserve">מקרה </w:t>
      </w:r>
      <w:proofErr w:type="spellStart"/>
      <w:r w:rsidR="00413F53">
        <w:rPr>
          <w:rFonts w:hint="cs"/>
          <w:rtl/>
        </w:rPr>
        <w:t>לא</w:t>
      </w:r>
      <w:r w:rsidR="00413F53">
        <w:rPr>
          <w:rFonts w:hint="eastAsia"/>
          <w:rtl/>
        </w:rPr>
        <w:t>־</w:t>
      </w:r>
      <w:r>
        <w:rPr>
          <w:rFonts w:hint="cs"/>
          <w:rtl/>
        </w:rPr>
        <w:t>שכיח</w:t>
      </w:r>
      <w:proofErr w:type="spellEnd"/>
      <w:r>
        <w:rPr>
          <w:rFonts w:hint="cs"/>
          <w:rtl/>
        </w:rPr>
        <w:t>. פרסום תדיר</w:t>
      </w:r>
      <w:r w:rsidR="00413F53">
        <w:rPr>
          <w:rFonts w:hint="cs"/>
          <w:rtl/>
        </w:rPr>
        <w:t>י</w:t>
      </w:r>
      <w:r>
        <w:rPr>
          <w:rFonts w:hint="cs"/>
          <w:rtl/>
        </w:rPr>
        <w:t xml:space="preserve"> של סרבני גט </w:t>
      </w:r>
      <w:r w:rsidR="00413F53">
        <w:rPr>
          <w:rFonts w:hint="cs"/>
          <w:rtl/>
        </w:rPr>
        <w:t xml:space="preserve">עשוי להוביל לאדישות מסוימת של </w:t>
      </w:r>
      <w:r>
        <w:rPr>
          <w:rFonts w:hint="cs"/>
          <w:rtl/>
        </w:rPr>
        <w:t xml:space="preserve">הציבור </w:t>
      </w:r>
      <w:r w:rsidR="00220DF4">
        <w:rPr>
          <w:rFonts w:hint="cs"/>
          <w:rtl/>
        </w:rPr>
        <w:t>כלפי סרבנות גט,</w:t>
      </w:r>
      <w:r w:rsidR="00413F53">
        <w:rPr>
          <w:rFonts w:hint="cs"/>
          <w:rtl/>
        </w:rPr>
        <w:t xml:space="preserve"> </w:t>
      </w:r>
      <w:r w:rsidR="00220DF4">
        <w:rPr>
          <w:rFonts w:hint="cs"/>
          <w:rtl/>
        </w:rPr>
        <w:t xml:space="preserve">ואף לשחיקה ברגישות לתופעה </w:t>
      </w:r>
      <w:r>
        <w:rPr>
          <w:rFonts w:hint="cs"/>
          <w:rtl/>
        </w:rPr>
        <w:t>קשה</w:t>
      </w:r>
      <w:r w:rsidR="00220DF4">
        <w:rPr>
          <w:rFonts w:hint="cs"/>
          <w:rtl/>
        </w:rPr>
        <w:t xml:space="preserve"> זו</w:t>
      </w:r>
      <w:r>
        <w:rPr>
          <w:rFonts w:hint="cs"/>
          <w:rtl/>
        </w:rPr>
        <w:t xml:space="preserve"> (</w:t>
      </w:r>
      <w:r w:rsidR="00220DF4">
        <w:rPr>
          <w:rFonts w:hint="cs"/>
          <w:rtl/>
        </w:rPr>
        <w:t xml:space="preserve">על דרך </w:t>
      </w:r>
      <w:r>
        <w:rPr>
          <w:rFonts w:hint="cs"/>
          <w:rtl/>
        </w:rPr>
        <w:t xml:space="preserve">המשל </w:t>
      </w:r>
      <w:r w:rsidR="00220DF4">
        <w:rPr>
          <w:rFonts w:hint="cs"/>
          <w:rtl/>
        </w:rPr>
        <w:t>המובא ברש"י [דברים כ</w:t>
      </w:r>
      <w:r>
        <w:rPr>
          <w:rFonts w:hint="cs"/>
          <w:rtl/>
        </w:rPr>
        <w:t xml:space="preserve">ה, </w:t>
      </w:r>
      <w:proofErr w:type="spellStart"/>
      <w:r>
        <w:rPr>
          <w:rFonts w:hint="cs"/>
          <w:rtl/>
        </w:rPr>
        <w:t>יח</w:t>
      </w:r>
      <w:proofErr w:type="spellEnd"/>
      <w:r w:rsidR="00220DF4">
        <w:rPr>
          <w:rFonts w:hint="cs"/>
          <w:rtl/>
        </w:rPr>
        <w:t>] בהקשר אחר</w:t>
      </w:r>
      <w:r>
        <w:rPr>
          <w:rFonts w:hint="cs"/>
          <w:rtl/>
        </w:rPr>
        <w:t xml:space="preserve">: "משל </w:t>
      </w:r>
      <w:proofErr w:type="spellStart"/>
      <w:r>
        <w:rPr>
          <w:rFonts w:hint="cs"/>
          <w:rtl/>
        </w:rPr>
        <w:t>לאמבטי</w:t>
      </w:r>
      <w:proofErr w:type="spellEnd"/>
      <w:r>
        <w:rPr>
          <w:rFonts w:hint="cs"/>
          <w:rtl/>
        </w:rPr>
        <w:t xml:space="preserve"> רותחת שאין כל בריה יכולה לירד בתוכה. בא בן </w:t>
      </w:r>
      <w:proofErr w:type="spellStart"/>
      <w:r>
        <w:rPr>
          <w:rFonts w:hint="cs"/>
          <w:rtl/>
        </w:rPr>
        <w:t>בליעל</w:t>
      </w:r>
      <w:proofErr w:type="spellEnd"/>
      <w:r>
        <w:rPr>
          <w:rFonts w:hint="cs"/>
          <w:rtl/>
        </w:rPr>
        <w:t xml:space="preserve"> אחד קפץ וירד לתוכה. אף על פי </w:t>
      </w:r>
      <w:proofErr w:type="spellStart"/>
      <w:r>
        <w:rPr>
          <w:rFonts w:hint="cs"/>
          <w:rtl/>
        </w:rPr>
        <w:t>שנכוה</w:t>
      </w:r>
      <w:proofErr w:type="spellEnd"/>
      <w:r>
        <w:rPr>
          <w:rFonts w:hint="cs"/>
          <w:rtl/>
        </w:rPr>
        <w:t xml:space="preserve"> - הקרה אותה בפני אחרים"</w:t>
      </w:r>
      <w:r w:rsidR="00220DF4">
        <w:rPr>
          <w:rFonts w:hint="cs"/>
          <w:rtl/>
        </w:rPr>
        <w:t>)</w:t>
      </w:r>
      <w:r>
        <w:rPr>
          <w:rFonts w:hint="cs"/>
          <w:rtl/>
        </w:rPr>
        <w:t xml:space="preserve">. גם </w:t>
      </w:r>
      <w:r w:rsidR="00220DF4">
        <w:rPr>
          <w:rFonts w:hint="cs"/>
          <w:rtl/>
        </w:rPr>
        <w:t xml:space="preserve">מחמת </w:t>
      </w:r>
      <w:r>
        <w:rPr>
          <w:rFonts w:hint="cs"/>
          <w:rtl/>
        </w:rPr>
        <w:t xml:space="preserve">שיקול זה </w:t>
      </w:r>
      <w:r w:rsidR="00220DF4">
        <w:rPr>
          <w:rFonts w:hint="cs"/>
          <w:rtl/>
        </w:rPr>
        <w:t>יש להגביל את השימוש באמצעי הביוש ל</w:t>
      </w:r>
      <w:r>
        <w:rPr>
          <w:rFonts w:hint="cs"/>
          <w:rtl/>
        </w:rPr>
        <w:t xml:space="preserve">מקום </w:t>
      </w:r>
      <w:r w:rsidR="00220DF4">
        <w:rPr>
          <w:rFonts w:hint="cs"/>
          <w:rtl/>
        </w:rPr>
        <w:t>ש</w:t>
      </w:r>
      <w:r>
        <w:rPr>
          <w:rFonts w:hint="cs"/>
          <w:rtl/>
        </w:rPr>
        <w:t xml:space="preserve">בו </w:t>
      </w:r>
      <w:r w:rsidR="00220DF4">
        <w:rPr>
          <w:rFonts w:hint="cs"/>
          <w:rtl/>
        </w:rPr>
        <w:t>אמצעים</w:t>
      </w:r>
      <w:r>
        <w:rPr>
          <w:rFonts w:hint="cs"/>
          <w:rtl/>
        </w:rPr>
        <w:t xml:space="preserve"> אחרים נכשלו.</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Miriam">
    <w:panose1 w:val="020B05020501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adasa Roso SL">
    <w:altName w:val="Times New Roman"/>
    <w:panose1 w:val="00000000000000000000"/>
    <w:charset w:val="00"/>
    <w:family w:val="roman"/>
    <w:notTrueType/>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uttman Keren">
    <w:altName w:val="Arial"/>
    <w:charset w:val="B1"/>
    <w:family w:val="auto"/>
    <w:pitch w:val="variable"/>
    <w:sig w:usb0="00000801" w:usb1="40000000" w:usb2="00000000" w:usb3="00000000" w:csb0="00000020"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320E" w:rsidRDefault="0031320E" w:rsidP="00FC4D5D">
    <w:pPr>
      <w:pStyle w:val="1"/>
      <w:jc w:val="center"/>
      <w:rPr>
        <w:rFonts w:cs="Guttman Keren"/>
        <w:b/>
        <w:bCs/>
        <w:color w:val="365F91"/>
        <w:spacing w:val="-10"/>
        <w:rtl/>
      </w:rPr>
    </w:pPr>
    <w:r>
      <w:rPr>
        <w:noProof/>
        <w:rtl/>
      </w:rPr>
      <mc:AlternateContent>
        <mc:Choice Requires="wps">
          <w:drawing>
            <wp:anchor distT="4294967295" distB="4294967295" distL="114300" distR="114300" simplePos="0" relativeHeight="251656704" behindDoc="0" locked="0" layoutInCell="1" allowOverlap="1" wp14:anchorId="35004FC9" wp14:editId="6801A736">
              <wp:simplePos x="0" y="0"/>
              <wp:positionH relativeFrom="column">
                <wp:posOffset>-6350</wp:posOffset>
              </wp:positionH>
              <wp:positionV relativeFrom="paragraph">
                <wp:posOffset>113029</wp:posOffset>
              </wp:positionV>
              <wp:extent cx="6191885" cy="0"/>
              <wp:effectExtent l="0" t="19050" r="18415" b="190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1885" cy="0"/>
                      </a:xfrm>
                      <a:prstGeom prst="straightConnector1">
                        <a:avLst/>
                      </a:prstGeom>
                      <a:noFill/>
                      <a:ln w="38100">
                        <a:solidFill>
                          <a:srgbClr val="0070C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00E21643" id="_x0000_t32" coordsize="21600,21600" o:spt="32" o:oned="t" path="m,l21600,21600e" filled="f">
              <v:path arrowok="t" fillok="f" o:connecttype="none"/>
              <o:lock v:ext="edit" shapetype="t"/>
            </v:shapetype>
            <v:shape id="AutoShape 3" o:spid="_x0000_s1026" type="#_x0000_t32" style="position:absolute;left:0;text-align:left;margin-left:-.5pt;margin-top:8.9pt;width:487.55pt;height:0;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" strokecolor="#0070c0" strokeweight="3pt">
              <v:shadow color="#243f60" opacity=".5" offset="1pt"/>
            </v:shape>
          </w:pict>
        </mc:Fallback>
      </mc:AlternateContent>
    </w:r>
    <w:r>
      <w:rPr>
        <w:rFonts w:cs="Guttman Keren"/>
        <w:b/>
        <w:bCs/>
        <w:color w:val="365F91"/>
        <w:spacing w:val="-10"/>
        <w:rtl/>
      </w:rPr>
      <w:t xml:space="preserve">         -----</w:t>
    </w:r>
  </w:p>
  <w:p w:rsidR="0031320E" w:rsidRPr="00E55679" w:rsidRDefault="0031320E" w:rsidP="00B57B41">
    <w:pPr>
      <w:pStyle w:val="1"/>
      <w:jc w:val="center"/>
      <w:rPr>
        <w:rFonts w:cs="Guttman Keren"/>
        <w:color w:val="365F91"/>
        <w:spacing w:val="-10"/>
        <w:rtl/>
      </w:rPr>
    </w:pPr>
    <w:r w:rsidRPr="00E55679">
      <w:rPr>
        <w:rFonts w:cs="Guttman Keren"/>
        <w:b/>
        <w:bCs/>
        <w:color w:val="365F91"/>
        <w:spacing w:val="-10"/>
        <w:rtl/>
      </w:rPr>
      <w:t xml:space="preserve">משרדי </w:t>
    </w:r>
    <w:proofErr w:type="spellStart"/>
    <w:r w:rsidRPr="00E55679">
      <w:rPr>
        <w:rFonts w:cs="Guttman Keren"/>
        <w:b/>
        <w:bCs/>
        <w:color w:val="365F91"/>
        <w:spacing w:val="-10"/>
        <w:rtl/>
      </w:rPr>
      <w:t>צהר</w:t>
    </w:r>
    <w:proofErr w:type="spellEnd"/>
    <w:r w:rsidRPr="00E55679">
      <w:rPr>
        <w:rFonts w:cs="Guttman Keren"/>
        <w:color w:val="365F91"/>
        <w:spacing w:val="-10"/>
        <w:rtl/>
      </w:rPr>
      <w:t xml:space="preserve">: המלאכה 1 א.ת. הצפוני לוד, </w:t>
    </w:r>
    <w:r w:rsidRPr="00356886">
      <w:rPr>
        <w:rFonts w:cs="Guttman Keren"/>
        <w:b/>
        <w:bCs/>
        <w:color w:val="365F91"/>
        <w:spacing w:val="-10"/>
        <w:sz w:val="18"/>
        <w:szCs w:val="22"/>
        <w:rtl/>
      </w:rPr>
      <w:t>71520</w:t>
    </w:r>
    <w:r w:rsidRPr="00E55679">
      <w:rPr>
        <w:rFonts w:cs="Guttman Keren"/>
        <w:color w:val="365F91"/>
        <w:spacing w:val="-10"/>
        <w:rtl/>
      </w:rPr>
      <w:t xml:space="preserve">  </w:t>
    </w:r>
    <w:r>
      <w:rPr>
        <w:rFonts w:cs="Guttman Keren"/>
        <w:color w:val="365F91"/>
        <w:spacing w:val="-10"/>
        <w:rtl/>
      </w:rPr>
      <w:t xml:space="preserve">   </w:t>
    </w:r>
    <w:r w:rsidRPr="00E55679">
      <w:rPr>
        <w:rFonts w:cs="Guttman Keren"/>
        <w:color w:val="365F91"/>
        <w:spacing w:val="-10"/>
        <w:rtl/>
      </w:rPr>
      <w:t>טל</w:t>
    </w:r>
    <w:r>
      <w:rPr>
        <w:rFonts w:cs="Guttman Keren"/>
        <w:color w:val="365F91"/>
        <w:spacing w:val="-10"/>
      </w:rPr>
      <w:t xml:space="preserve"> :</w:t>
    </w:r>
    <w:r w:rsidRPr="00E55679">
      <w:rPr>
        <w:rFonts w:cs="Guttman Keren"/>
        <w:color w:val="365F91"/>
        <w:spacing w:val="-10"/>
        <w:rtl/>
      </w:rPr>
      <w:t xml:space="preserve"> </w:t>
    </w:r>
    <w:r>
      <w:rPr>
        <w:rFonts w:cs="Guttman Keren"/>
        <w:b/>
        <w:bCs/>
        <w:color w:val="365F91"/>
        <w:spacing w:val="-10"/>
        <w:sz w:val="18"/>
        <w:szCs w:val="22"/>
        <w:rtl/>
      </w:rPr>
      <w:t>052-3286269</w:t>
    </w:r>
    <w:r w:rsidRPr="00356886">
      <w:rPr>
        <w:rFonts w:cs="Guttman Keren"/>
        <w:color w:val="365F91"/>
        <w:spacing w:val="-10"/>
        <w:sz w:val="18"/>
        <w:szCs w:val="22"/>
        <w:rtl/>
      </w:rPr>
      <w:t xml:space="preserve">   </w:t>
    </w:r>
    <w:r>
      <w:rPr>
        <w:rFonts w:cs="Guttman Keren"/>
        <w:color w:val="365F91"/>
        <w:spacing w:val="-10"/>
        <w:sz w:val="18"/>
        <w:szCs w:val="22"/>
        <w:rtl/>
      </w:rPr>
      <w:t xml:space="preserve">  </w:t>
    </w:r>
    <w:r w:rsidRPr="00E55679">
      <w:rPr>
        <w:rFonts w:cs="Guttman Keren"/>
        <w:color w:val="365F91"/>
        <w:spacing w:val="-10"/>
        <w:rtl/>
      </w:rPr>
      <w:t>פקס</w:t>
    </w:r>
    <w:r>
      <w:rPr>
        <w:rFonts w:cs="Guttman Keren"/>
        <w:color w:val="365F91"/>
        <w:spacing w:val="-10"/>
        <w:rtl/>
      </w:rPr>
      <w:t>:</w:t>
    </w:r>
    <w:r w:rsidRPr="00E55679">
      <w:rPr>
        <w:rFonts w:cs="Guttman Keren"/>
        <w:color w:val="365F91"/>
        <w:spacing w:val="-10"/>
        <w:rtl/>
      </w:rPr>
      <w:t xml:space="preserve"> </w:t>
    </w:r>
    <w:r w:rsidRPr="00114F54">
      <w:rPr>
        <w:rFonts w:cs="Guttman Keren"/>
        <w:b/>
        <w:bCs/>
        <w:color w:val="365F91"/>
        <w:spacing w:val="-10"/>
        <w:sz w:val="18"/>
        <w:szCs w:val="22"/>
        <w:rtl/>
      </w:rPr>
      <w:t>153</w:t>
    </w:r>
    <w:r>
      <w:rPr>
        <w:rFonts w:cs="Guttman Keren"/>
        <w:b/>
        <w:bCs/>
        <w:color w:val="365F91"/>
        <w:spacing w:val="-10"/>
        <w:sz w:val="18"/>
        <w:szCs w:val="22"/>
        <w:rtl/>
      </w:rPr>
      <w:t>-</w:t>
    </w:r>
    <w:r w:rsidRPr="00114F54">
      <w:rPr>
        <w:rFonts w:cs="Guttman Keren"/>
        <w:b/>
        <w:bCs/>
        <w:color w:val="365F91"/>
        <w:spacing w:val="-10"/>
        <w:sz w:val="18"/>
        <w:szCs w:val="22"/>
        <w:rtl/>
      </w:rPr>
      <w:t>523286269</w:t>
    </w:r>
  </w:p>
  <w:p w:rsidR="0031320E" w:rsidRPr="00E55679" w:rsidRDefault="00CB4178" w:rsidP="00B57B41">
    <w:pPr>
      <w:jc w:val="center"/>
      <w:rPr>
        <w:rFonts w:cs="Guttman Keren"/>
        <w:b/>
        <w:bCs/>
        <w:color w:val="365F91"/>
        <w:spacing w:val="8"/>
        <w:sz w:val="24"/>
        <w:szCs w:val="24"/>
        <w:rtl/>
      </w:rPr>
    </w:pPr>
    <w:hyperlink r:id="rId1" w:history="1">
      <w:r w:rsidR="0031320E" w:rsidRPr="00175902">
        <w:rPr>
          <w:b/>
          <w:bCs/>
          <w:color w:val="365F91"/>
          <w:spacing w:val="-10"/>
          <w:sz w:val="26"/>
          <w:szCs w:val="26"/>
        </w:rPr>
        <w:t>www.tzohar.org.il</w:t>
      </w:r>
    </w:hyperlink>
    <w:r w:rsidR="0031320E" w:rsidRPr="00175902">
      <w:rPr>
        <w:rFonts w:cs="Guttman Keren"/>
        <w:b/>
        <w:bCs/>
        <w:color w:val="365F91"/>
        <w:spacing w:val="8"/>
        <w:sz w:val="30"/>
        <w:szCs w:val="30"/>
        <w:rtl/>
      </w:rPr>
      <w:t xml:space="preserve"> </w:t>
    </w:r>
    <w:r w:rsidR="0031320E" w:rsidRPr="00175902">
      <w:rPr>
        <w:rFonts w:cs="Guttman Keren"/>
        <w:b/>
        <w:bCs/>
        <w:color w:val="365F91"/>
        <w:spacing w:val="8"/>
        <w:sz w:val="24"/>
        <w:szCs w:val="24"/>
        <w:rtl/>
      </w:rPr>
      <w:t xml:space="preserve">     </w:t>
    </w:r>
    <w:proofErr w:type="spellStart"/>
    <w:r w:rsidR="0031320E" w:rsidRPr="00E55679">
      <w:rPr>
        <w:rFonts w:cs="Guttman Keren"/>
        <w:b/>
        <w:bCs/>
        <w:color w:val="365F91"/>
        <w:spacing w:val="8"/>
        <w:sz w:val="24"/>
        <w:szCs w:val="24"/>
        <w:rtl/>
      </w:rPr>
      <w:t>צהר</w:t>
    </w:r>
    <w:proofErr w:type="spellEnd"/>
    <w:r w:rsidR="0031320E" w:rsidRPr="00E55679">
      <w:rPr>
        <w:rFonts w:cs="Guttman Keren"/>
        <w:b/>
        <w:bCs/>
        <w:color w:val="365F91"/>
        <w:spacing w:val="8"/>
        <w:sz w:val="24"/>
        <w:szCs w:val="24"/>
        <w:rtl/>
      </w:rPr>
      <w:t xml:space="preserve"> </w:t>
    </w:r>
    <w:r w:rsidR="0031320E">
      <w:rPr>
        <w:rFonts w:cs="Guttman Keren"/>
        <w:b/>
        <w:bCs/>
        <w:color w:val="365F91"/>
        <w:spacing w:val="8"/>
        <w:sz w:val="24"/>
        <w:szCs w:val="24"/>
        <w:rtl/>
      </w:rPr>
      <w:t>לחקיקה</w:t>
    </w:r>
    <w:r w:rsidR="0031320E" w:rsidRPr="00E55679">
      <w:rPr>
        <w:rFonts w:cs="Guttman Keren"/>
        <w:b/>
        <w:bCs/>
        <w:color w:val="365F91"/>
        <w:spacing w:val="8"/>
        <w:sz w:val="24"/>
        <w:szCs w:val="24"/>
        <w:rtl/>
      </w:rPr>
      <w:t xml:space="preserve">: </w:t>
    </w:r>
    <w:r w:rsidR="0031320E">
      <w:rPr>
        <w:rFonts w:cs="Guttman Keren"/>
        <w:b/>
        <w:bCs/>
        <w:color w:val="365F91"/>
        <w:spacing w:val="8"/>
        <w:sz w:val="24"/>
        <w:szCs w:val="24"/>
      </w:rPr>
      <w:t>Ganzel</w:t>
    </w:r>
    <w:r w:rsidR="0031320E" w:rsidRPr="00E55679">
      <w:rPr>
        <w:rFonts w:cs="Guttman Keren"/>
        <w:b/>
        <w:bCs/>
        <w:color w:val="365F91"/>
        <w:spacing w:val="8"/>
        <w:sz w:val="24"/>
        <w:szCs w:val="24"/>
      </w:rPr>
      <w:t>@tzohar.org.il</w:t>
    </w:r>
  </w:p>
  <w:p w:rsidR="0031320E" w:rsidRPr="00E55679" w:rsidRDefault="0031320E">
    <w:pPr>
      <w:pStyle w:val="a5"/>
      <w:rPr>
        <w:color w:val="365F9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4178" w:rsidRDefault="00CB4178">
      <w:r>
        <w:separator/>
      </w:r>
    </w:p>
  </w:footnote>
  <w:footnote w:type="continuationSeparator" w:id="0">
    <w:p w:rsidR="00CB4178" w:rsidRDefault="00CB41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320E" w:rsidRDefault="0031320E">
    <w:pPr>
      <w:pStyle w:val="a3"/>
      <w:framePr w:wrap="around" w:vAnchor="text" w:hAnchor="margin" w:y="1"/>
      <w:rPr>
        <w:rStyle w:val="a7"/>
        <w:rFonts w:cs="Miriam"/>
        <w:rtl/>
      </w:rPr>
    </w:pPr>
    <w:r>
      <w:rPr>
        <w:rStyle w:val="a7"/>
        <w:rFonts w:cs="Miriam"/>
      </w:rPr>
      <w:fldChar w:fldCharType="begin"/>
    </w:r>
    <w:r>
      <w:rPr>
        <w:rStyle w:val="a7"/>
        <w:rFonts w:cs="Miriam"/>
      </w:rPr>
      <w:instrText xml:space="preserve">PAGE  </w:instrText>
    </w:r>
    <w:r>
      <w:rPr>
        <w:rStyle w:val="a7"/>
        <w:rFonts w:cs="Miriam"/>
      </w:rPr>
      <w:fldChar w:fldCharType="separate"/>
    </w:r>
    <w:r>
      <w:rPr>
        <w:rStyle w:val="a7"/>
        <w:rFonts w:cs="Miriam"/>
        <w:rtl/>
      </w:rPr>
      <w:t>1</w:t>
    </w:r>
    <w:r>
      <w:rPr>
        <w:rStyle w:val="a7"/>
        <w:rFonts w:cs="Miriam"/>
      </w:rPr>
      <w:fldChar w:fldCharType="end"/>
    </w:r>
  </w:p>
  <w:p w:rsidR="0031320E" w:rsidRDefault="0031320E">
    <w:pPr>
      <w:pStyle w:val="a3"/>
      <w:ind w:right="360"/>
      <w:rPr>
        <w:rt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320E" w:rsidRPr="00A81E14" w:rsidRDefault="0031320E" w:rsidP="00A81E14">
    <w:pPr>
      <w:pStyle w:val="a3"/>
      <w:ind w:right="360"/>
      <w:rPr>
        <w:rFonts w:cs="Guttman Keren"/>
        <w:b/>
        <w:bCs/>
        <w:color w:val="365F91"/>
        <w:sz w:val="34"/>
        <w:szCs w:val="34"/>
        <w:rtl/>
      </w:rPr>
    </w:pPr>
    <w:r>
      <w:rPr>
        <w:noProof/>
        <w:rtl/>
      </w:rPr>
      <mc:AlternateContent>
        <mc:Choice Requires="wps">
          <w:drawing>
            <wp:anchor distT="0" distB="0" distL="114300" distR="114300" simplePos="0" relativeHeight="251655680" behindDoc="1" locked="0" layoutInCell="0" allowOverlap="1" wp14:anchorId="534269DC" wp14:editId="35E3F184">
              <wp:simplePos x="0" y="0"/>
              <wp:positionH relativeFrom="page">
                <wp:posOffset>387350</wp:posOffset>
              </wp:positionH>
              <wp:positionV relativeFrom="paragraph">
                <wp:posOffset>-19685</wp:posOffset>
              </wp:positionV>
              <wp:extent cx="5852160" cy="533400"/>
              <wp:effectExtent l="0" t="0" r="0" b="0"/>
              <wp:wrapThrough wrapText="bothSides">
                <wp:wrapPolygon edited="0">
                  <wp:start x="0" y="0"/>
                  <wp:lineTo x="0" y="20829"/>
                  <wp:lineTo x="21516" y="20829"/>
                  <wp:lineTo x="21516" y="0"/>
                  <wp:lineTo x="0" y="0"/>
                </wp:wrapPolygon>
              </wp:wrapThrough>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2160" cy="533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1320E" w:rsidRDefault="0031320E" w:rsidP="00A81E14">
                          <w:pPr>
                            <w:pStyle w:val="a3"/>
                            <w:ind w:right="360"/>
                            <w:rPr>
                              <w:rFonts w:cs="Guttman Keren"/>
                              <w:b/>
                              <w:bCs/>
                              <w:color w:val="365F91"/>
                              <w:sz w:val="34"/>
                              <w:szCs w:val="34"/>
                              <w:rtl/>
                            </w:rPr>
                          </w:pPr>
                          <w:proofErr w:type="spellStart"/>
                          <w:r>
                            <w:rPr>
                              <w:rFonts w:cs="Guttman Keren" w:hint="cs"/>
                              <w:b/>
                              <w:bCs/>
                              <w:color w:val="365F91"/>
                              <w:sz w:val="34"/>
                              <w:szCs w:val="34"/>
                              <w:rtl/>
                            </w:rPr>
                            <w:t>צ</w:t>
                          </w:r>
                          <w:r w:rsidRPr="00E55679">
                            <w:rPr>
                              <w:rFonts w:cs="Guttman Keren"/>
                              <w:b/>
                              <w:bCs/>
                              <w:color w:val="365F91"/>
                              <w:sz w:val="34"/>
                              <w:szCs w:val="34"/>
                              <w:rtl/>
                            </w:rPr>
                            <w:t>הר</w:t>
                          </w:r>
                          <w:proofErr w:type="spellEnd"/>
                          <w:r w:rsidRPr="00E55679">
                            <w:rPr>
                              <w:rFonts w:cs="Guttman Keren"/>
                              <w:b/>
                              <w:bCs/>
                              <w:color w:val="365F91"/>
                              <w:sz w:val="34"/>
                              <w:szCs w:val="34"/>
                              <w:rtl/>
                            </w:rPr>
                            <w:t xml:space="preserve"> </w:t>
                          </w:r>
                          <w:r>
                            <w:rPr>
                              <w:rFonts w:cs="Guttman Keren"/>
                              <w:b/>
                              <w:bCs/>
                              <w:color w:val="365F91"/>
                              <w:sz w:val="34"/>
                              <w:szCs w:val="34"/>
                              <w:rtl/>
                            </w:rPr>
                            <w:t>לחקיקה</w:t>
                          </w:r>
                        </w:p>
                        <w:p w:rsidR="0031320E" w:rsidRPr="00E55679" w:rsidRDefault="0031320E" w:rsidP="00A81E14">
                          <w:pPr>
                            <w:pStyle w:val="a3"/>
                            <w:ind w:right="360"/>
                            <w:rPr>
                              <w:rFonts w:cs="Guttman Keren"/>
                              <w:b/>
                              <w:bCs/>
                              <w:color w:val="365F91"/>
                              <w:sz w:val="34"/>
                              <w:szCs w:val="34"/>
                              <w:rtl/>
                            </w:rPr>
                          </w:pPr>
                          <w:r w:rsidRPr="00E55679">
                            <w:rPr>
                              <w:rFonts w:cs="Guttman Keren"/>
                              <w:color w:val="365F91"/>
                              <w:sz w:val="26"/>
                              <w:szCs w:val="26"/>
                              <w:rtl/>
                            </w:rPr>
                            <w:t>מבט יהודי לחקיקה בישראל</w:t>
                          </w:r>
                        </w:p>
                        <w:p w:rsidR="0031320E" w:rsidRDefault="0031320E" w:rsidP="00744206">
                          <w:pPr>
                            <w:pStyle w:val="1"/>
                            <w:spacing w:after="120"/>
                            <w:jc w:val="left"/>
                            <w:rPr>
                              <w:rFonts w:cs="David"/>
                              <w:spacing w:val="-10"/>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4269DC" id="_x0000_t202" coordsize="21600,21600" o:spt="202" path="m,l,21600r21600,l21600,xe">
              <v:stroke joinstyle="miter"/>
              <v:path gradientshapeok="t" o:connecttype="rect"/>
            </v:shapetype>
            <v:shape id="Text Box 2" o:spid="_x0000_s1026" type="#_x0000_t202" style="position:absolute;left:0;text-align:left;margin-left:30.5pt;margin-top:-1.55pt;width:460.8pt;height:42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" o:allowincell="f" stroked="f">
              <v:textbox>
                <w:txbxContent>
                  <w:p w:rsidR="0031320E" w:rsidRDefault="0031320E" w:rsidP="00A81E14">
                    <w:pPr>
                      <w:pStyle w:val="a3"/>
                      <w:ind w:right="360"/>
                      <w:rPr>
                        <w:rFonts w:cs="Guttman Keren"/>
                        <w:b/>
                        <w:bCs/>
                        <w:color w:val="365F91"/>
                        <w:sz w:val="34"/>
                        <w:szCs w:val="34"/>
                        <w:rtl/>
                      </w:rPr>
                    </w:pPr>
                    <w:proofErr w:type="spellStart"/>
                    <w:r>
                      <w:rPr>
                        <w:rFonts w:cs="Guttman Keren" w:hint="cs"/>
                        <w:b/>
                        <w:bCs/>
                        <w:color w:val="365F91"/>
                        <w:sz w:val="34"/>
                        <w:szCs w:val="34"/>
                        <w:rtl/>
                      </w:rPr>
                      <w:t>צ</w:t>
                    </w:r>
                    <w:r w:rsidRPr="00E55679">
                      <w:rPr>
                        <w:rFonts w:cs="Guttman Keren"/>
                        <w:b/>
                        <w:bCs/>
                        <w:color w:val="365F91"/>
                        <w:sz w:val="34"/>
                        <w:szCs w:val="34"/>
                        <w:rtl/>
                      </w:rPr>
                      <w:t>הר</w:t>
                    </w:r>
                    <w:proofErr w:type="spellEnd"/>
                    <w:r w:rsidRPr="00E55679">
                      <w:rPr>
                        <w:rFonts w:cs="Guttman Keren"/>
                        <w:b/>
                        <w:bCs/>
                        <w:color w:val="365F91"/>
                        <w:sz w:val="34"/>
                        <w:szCs w:val="34"/>
                        <w:rtl/>
                      </w:rPr>
                      <w:t xml:space="preserve"> </w:t>
                    </w:r>
                    <w:r>
                      <w:rPr>
                        <w:rFonts w:cs="Guttman Keren"/>
                        <w:b/>
                        <w:bCs/>
                        <w:color w:val="365F91"/>
                        <w:sz w:val="34"/>
                        <w:szCs w:val="34"/>
                        <w:rtl/>
                      </w:rPr>
                      <w:t>לחקיקה</w:t>
                    </w:r>
                  </w:p>
                  <w:p w:rsidR="0031320E" w:rsidRPr="00E55679" w:rsidRDefault="0031320E" w:rsidP="00A81E14">
                    <w:pPr>
                      <w:pStyle w:val="a3"/>
                      <w:ind w:right="360"/>
                      <w:rPr>
                        <w:rFonts w:cs="Guttman Keren"/>
                        <w:b/>
                        <w:bCs/>
                        <w:color w:val="365F91"/>
                        <w:sz w:val="34"/>
                        <w:szCs w:val="34"/>
                        <w:rtl/>
                      </w:rPr>
                    </w:pPr>
                    <w:r w:rsidRPr="00E55679">
                      <w:rPr>
                        <w:rFonts w:cs="Guttman Keren"/>
                        <w:color w:val="365F91"/>
                        <w:sz w:val="26"/>
                        <w:szCs w:val="26"/>
                        <w:rtl/>
                      </w:rPr>
                      <w:t>מבט יהודי לחקיקה בישראל</w:t>
                    </w:r>
                  </w:p>
                  <w:p w:rsidR="0031320E" w:rsidRDefault="0031320E" w:rsidP="00744206">
                    <w:pPr>
                      <w:pStyle w:val="1"/>
                      <w:spacing w:after="120"/>
                      <w:jc w:val="left"/>
                      <w:rPr>
                        <w:rFonts w:cs="David"/>
                        <w:spacing w:val="-10"/>
                        <w:rtl/>
                      </w:rPr>
                    </w:pPr>
                  </w:p>
                </w:txbxContent>
              </v:textbox>
              <w10:wrap type="through" anchorx="page"/>
            </v:shape>
          </w:pict>
        </mc:Fallback>
      </mc:AlternateContent>
    </w:r>
    <w:r>
      <w:rPr>
        <w:noProof/>
        <w:rtl/>
      </w:rPr>
      <mc:AlternateContent>
        <mc:Choice Requires="wps">
          <w:drawing>
            <wp:anchor distT="4294967295" distB="4294967295" distL="114300" distR="114300" simplePos="0" relativeHeight="251657728" behindDoc="0" locked="0" layoutInCell="1" allowOverlap="1" wp14:anchorId="04B53192" wp14:editId="363B4EA2">
              <wp:simplePos x="0" y="0"/>
              <wp:positionH relativeFrom="margin">
                <wp:posOffset>-6350</wp:posOffset>
              </wp:positionH>
              <wp:positionV relativeFrom="margin">
                <wp:posOffset>-267335</wp:posOffset>
              </wp:positionV>
              <wp:extent cx="5615940" cy="0"/>
              <wp:effectExtent l="0" t="19050" r="3810" b="19050"/>
              <wp:wrapSquare wrapText="bothSides"/>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straightConnector1">
                        <a:avLst/>
                      </a:prstGeom>
                      <a:noFill/>
                      <a:ln w="38100">
                        <a:solidFill>
                          <a:srgbClr val="0070C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58EC21D4" id="_x0000_t32" coordsize="21600,21600" o:spt="32" o:oned="t" path="m,l21600,21600e" filled="f">
              <v:path arrowok="t" fillok="f" o:connecttype="none"/>
              <o:lock v:ext="edit" shapetype="t"/>
            </v:shapetype>
            <v:shape id="AutoShape 6" o:spid="_x0000_s1026" type="#_x0000_t32" style="position:absolute;left:0;text-align:left;margin-left:-.5pt;margin-top:-21.05pt;width:442.2pt;height:0;z-index:25165772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" strokecolor="#0070c0" strokeweight="3pt">
              <v:shadow color="#243f60" opacity=".5" offset="1pt"/>
              <w10:wrap type="square" anchorx="margin" anchory="margin"/>
            </v:shape>
          </w:pict>
        </mc:Fallback>
      </mc:AlternateContent>
    </w:r>
    <w:r>
      <w:rPr>
        <w:noProof/>
        <w:rtl/>
      </w:rPr>
      <w:drawing>
        <wp:anchor distT="0" distB="0" distL="114300" distR="114300" simplePos="0" relativeHeight="251659776" behindDoc="0" locked="0" layoutInCell="1" allowOverlap="1" wp14:anchorId="1C447738" wp14:editId="099E5512">
          <wp:simplePos x="0" y="0"/>
          <wp:positionH relativeFrom="column">
            <wp:posOffset>5695950</wp:posOffset>
          </wp:positionH>
          <wp:positionV relativeFrom="paragraph">
            <wp:posOffset>-195580</wp:posOffset>
          </wp:positionV>
          <wp:extent cx="810260" cy="874395"/>
          <wp:effectExtent l="0" t="0" r="8890" b="1905"/>
          <wp:wrapSquare wrapText="bothSides"/>
          <wp:docPr id="5" name="תמונה 10" descr="90811_Tzohar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0" descr="90811_Tzohar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0260" cy="874395"/>
                  </a:xfrm>
                  <a:prstGeom prst="rect">
                    <a:avLst/>
                  </a:prstGeom>
                  <a:noFill/>
                </pic:spPr>
              </pic:pic>
            </a:graphicData>
          </a:graphic>
          <wp14:sizeRelH relativeFrom="page">
            <wp14:pctWidth>0</wp14:pctWidth>
          </wp14:sizeRelH>
          <wp14:sizeRelV relativeFrom="page">
            <wp14:pctHeight>0</wp14:pctHeight>
          </wp14:sizeRelV>
        </wp:anchor>
      </w:drawing>
    </w:r>
    <w:r>
      <w:rPr>
        <w:noProof/>
        <w:rtl/>
      </w:rPr>
      <w:drawing>
        <wp:anchor distT="0" distB="0" distL="114300" distR="114300" simplePos="0" relativeHeight="251658752" behindDoc="0" locked="0" layoutInCell="1" allowOverlap="1" wp14:anchorId="1A325015" wp14:editId="1737067B">
          <wp:simplePos x="0" y="0"/>
          <wp:positionH relativeFrom="column">
            <wp:posOffset>-6350</wp:posOffset>
          </wp:positionH>
          <wp:positionV relativeFrom="paragraph">
            <wp:posOffset>-285115</wp:posOffset>
          </wp:positionV>
          <wp:extent cx="600075" cy="723900"/>
          <wp:effectExtent l="0" t="0" r="9525" b="0"/>
          <wp:wrapNone/>
          <wp:docPr id="4"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2"/>
                  <pic:cNvPicPr>
                    <a:picLocks noChangeAspect="1" noChangeArrowheads="1"/>
                  </pic:cNvPicPr>
                </pic:nvPicPr>
                <pic:blipFill>
                  <a:blip r:embed="rId2">
                    <a:extLst>
                      <a:ext uri="{28A0092B-C50C-407E-A947-70E740481C1C}">
                        <a14:useLocalDpi xmlns:a14="http://schemas.microsoft.com/office/drawing/2010/main" val="0"/>
                      </a:ext>
                    </a:extLst>
                  </a:blip>
                  <a:srcRect l="12602" t="17670" r="17603" b="15950"/>
                  <a:stretch>
                    <a:fillRect/>
                  </a:stretch>
                </pic:blipFill>
                <pic:spPr bwMode="auto">
                  <a:xfrm>
                    <a:off x="0" y="0"/>
                    <a:ext cx="600075" cy="7239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E4E5E"/>
    <w:multiLevelType w:val="hybridMultilevel"/>
    <w:tmpl w:val="CDDE7D58"/>
    <w:lvl w:ilvl="0" w:tplc="30E63542">
      <w:start w:val="1"/>
      <w:numFmt w:val="decimal"/>
      <w:lvlText w:val="%1."/>
      <w:lvlJc w:val="left"/>
      <w:pPr>
        <w:ind w:left="720" w:hanging="360"/>
      </w:pPr>
      <w:rPr>
        <w:rFonts w:cs="Times New Roman" w:hint="default"/>
        <w:b w:val="0"/>
        <w:bCs/>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8CF2CC6"/>
    <w:multiLevelType w:val="hybridMultilevel"/>
    <w:tmpl w:val="D4845B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C620D9"/>
    <w:multiLevelType w:val="hybridMultilevel"/>
    <w:tmpl w:val="0CD47708"/>
    <w:lvl w:ilvl="0" w:tplc="CEAC2F94">
      <w:start w:val="1"/>
      <w:numFmt w:val="decimal"/>
      <w:lvlText w:val="%1."/>
      <w:lvlJc w:val="left"/>
      <w:pPr>
        <w:ind w:left="720" w:hanging="360"/>
      </w:pPr>
      <w:rPr>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AF471D7"/>
    <w:multiLevelType w:val="hybridMultilevel"/>
    <w:tmpl w:val="F9C45D02"/>
    <w:lvl w:ilvl="0" w:tplc="10F25BFE">
      <w:start w:val="1"/>
      <w:numFmt w:val="hebrew1"/>
      <w:lvlText w:val="%1."/>
      <w:lvlJc w:val="left"/>
      <w:pPr>
        <w:tabs>
          <w:tab w:val="num" w:pos="720"/>
        </w:tabs>
        <w:ind w:left="720" w:hanging="360"/>
      </w:pPr>
      <w:rPr>
        <w:rFonts w:cs="Times New Roman" w:hint="default"/>
        <w:sz w:val="2"/>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D574875"/>
    <w:multiLevelType w:val="hybridMultilevel"/>
    <w:tmpl w:val="CDFA8B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344BF0"/>
    <w:multiLevelType w:val="hybridMultilevel"/>
    <w:tmpl w:val="D6E6E714"/>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3611BF"/>
    <w:multiLevelType w:val="hybridMultilevel"/>
    <w:tmpl w:val="ECEA6AA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DD5BE8"/>
    <w:multiLevelType w:val="hybridMultilevel"/>
    <w:tmpl w:val="86EC8162"/>
    <w:lvl w:ilvl="0" w:tplc="7B68A228">
      <w:start w:val="1"/>
      <w:numFmt w:val="hebrew1"/>
      <w:lvlText w:val="%1."/>
      <w:lvlJc w:val="left"/>
      <w:pPr>
        <w:ind w:left="714" w:hanging="360"/>
      </w:pPr>
      <w:rPr>
        <w:rFonts w:cs="Times New Roman" w:hint="default"/>
        <w:sz w:val="2"/>
        <w:szCs w:val="20"/>
      </w:rPr>
    </w:lvl>
    <w:lvl w:ilvl="1" w:tplc="04090019" w:tentative="1">
      <w:start w:val="1"/>
      <w:numFmt w:val="lowerLetter"/>
      <w:lvlText w:val="%2."/>
      <w:lvlJc w:val="left"/>
      <w:pPr>
        <w:ind w:left="1434" w:hanging="360"/>
      </w:pPr>
      <w:rPr>
        <w:rFonts w:cs="Times New Roman"/>
      </w:rPr>
    </w:lvl>
    <w:lvl w:ilvl="2" w:tplc="0409001B" w:tentative="1">
      <w:start w:val="1"/>
      <w:numFmt w:val="lowerRoman"/>
      <w:lvlText w:val="%3."/>
      <w:lvlJc w:val="right"/>
      <w:pPr>
        <w:ind w:left="2154" w:hanging="180"/>
      </w:pPr>
      <w:rPr>
        <w:rFonts w:cs="Times New Roman"/>
      </w:rPr>
    </w:lvl>
    <w:lvl w:ilvl="3" w:tplc="0409000F" w:tentative="1">
      <w:start w:val="1"/>
      <w:numFmt w:val="decimal"/>
      <w:lvlText w:val="%4."/>
      <w:lvlJc w:val="left"/>
      <w:pPr>
        <w:ind w:left="2874" w:hanging="360"/>
      </w:pPr>
      <w:rPr>
        <w:rFonts w:cs="Times New Roman"/>
      </w:rPr>
    </w:lvl>
    <w:lvl w:ilvl="4" w:tplc="04090019" w:tentative="1">
      <w:start w:val="1"/>
      <w:numFmt w:val="lowerLetter"/>
      <w:lvlText w:val="%5."/>
      <w:lvlJc w:val="left"/>
      <w:pPr>
        <w:ind w:left="3594" w:hanging="360"/>
      </w:pPr>
      <w:rPr>
        <w:rFonts w:cs="Times New Roman"/>
      </w:rPr>
    </w:lvl>
    <w:lvl w:ilvl="5" w:tplc="0409001B" w:tentative="1">
      <w:start w:val="1"/>
      <w:numFmt w:val="lowerRoman"/>
      <w:lvlText w:val="%6."/>
      <w:lvlJc w:val="right"/>
      <w:pPr>
        <w:ind w:left="4314" w:hanging="180"/>
      </w:pPr>
      <w:rPr>
        <w:rFonts w:cs="Times New Roman"/>
      </w:rPr>
    </w:lvl>
    <w:lvl w:ilvl="6" w:tplc="0409000F" w:tentative="1">
      <w:start w:val="1"/>
      <w:numFmt w:val="decimal"/>
      <w:lvlText w:val="%7."/>
      <w:lvlJc w:val="left"/>
      <w:pPr>
        <w:ind w:left="5034" w:hanging="360"/>
      </w:pPr>
      <w:rPr>
        <w:rFonts w:cs="Times New Roman"/>
      </w:rPr>
    </w:lvl>
    <w:lvl w:ilvl="7" w:tplc="04090019" w:tentative="1">
      <w:start w:val="1"/>
      <w:numFmt w:val="lowerLetter"/>
      <w:lvlText w:val="%8."/>
      <w:lvlJc w:val="left"/>
      <w:pPr>
        <w:ind w:left="5754" w:hanging="360"/>
      </w:pPr>
      <w:rPr>
        <w:rFonts w:cs="Times New Roman"/>
      </w:rPr>
    </w:lvl>
    <w:lvl w:ilvl="8" w:tplc="0409001B" w:tentative="1">
      <w:start w:val="1"/>
      <w:numFmt w:val="lowerRoman"/>
      <w:lvlText w:val="%9."/>
      <w:lvlJc w:val="right"/>
      <w:pPr>
        <w:ind w:left="6474" w:hanging="180"/>
      </w:pPr>
      <w:rPr>
        <w:rFonts w:cs="Times New Roman"/>
      </w:rPr>
    </w:lvl>
  </w:abstractNum>
  <w:abstractNum w:abstractNumId="8" w15:restartNumberingAfterBreak="0">
    <w:nsid w:val="292F2DDC"/>
    <w:multiLevelType w:val="hybridMultilevel"/>
    <w:tmpl w:val="2FF8A81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9E27303"/>
    <w:multiLevelType w:val="hybridMultilevel"/>
    <w:tmpl w:val="9DDCA0A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308756E3"/>
    <w:multiLevelType w:val="hybridMultilevel"/>
    <w:tmpl w:val="1DC44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CC23EA"/>
    <w:multiLevelType w:val="hybridMultilevel"/>
    <w:tmpl w:val="F056C962"/>
    <w:lvl w:ilvl="0" w:tplc="04090013">
      <w:start w:val="1"/>
      <w:numFmt w:val="hebrew1"/>
      <w:lvlText w:val="%1."/>
      <w:lvlJc w:val="center"/>
      <w:pPr>
        <w:tabs>
          <w:tab w:val="num" w:pos="360"/>
        </w:tabs>
        <w:ind w:left="360" w:hanging="360"/>
      </w:pPr>
      <w:rPr>
        <w:rFonts w:cs="Times New Roman"/>
        <w:sz w:val="2"/>
        <w:szCs w:val="20"/>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2" w15:restartNumberingAfterBreak="0">
    <w:nsid w:val="32121F76"/>
    <w:multiLevelType w:val="hybridMultilevel"/>
    <w:tmpl w:val="72CEE43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328D7ED6"/>
    <w:multiLevelType w:val="hybridMultilevel"/>
    <w:tmpl w:val="EC54F396"/>
    <w:lvl w:ilvl="0" w:tplc="87CE4EFE">
      <w:start w:val="1"/>
      <w:numFmt w:val="decimal"/>
      <w:lvlText w:val="(%1)"/>
      <w:lvlJc w:val="left"/>
      <w:pPr>
        <w:ind w:left="914" w:hanging="63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33AD40CC"/>
    <w:multiLevelType w:val="hybridMultilevel"/>
    <w:tmpl w:val="2E3863E8"/>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373E09EF"/>
    <w:multiLevelType w:val="hybridMultilevel"/>
    <w:tmpl w:val="7B20E6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B403357"/>
    <w:multiLevelType w:val="hybridMultilevel"/>
    <w:tmpl w:val="236C51F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40AF436A"/>
    <w:multiLevelType w:val="hybridMultilevel"/>
    <w:tmpl w:val="A5982FA4"/>
    <w:lvl w:ilvl="0" w:tplc="4E28BA96">
      <w:numFmt w:val="bullet"/>
      <w:lvlText w:val=""/>
      <w:lvlJc w:val="left"/>
      <w:pPr>
        <w:tabs>
          <w:tab w:val="num" w:pos="720"/>
        </w:tabs>
        <w:ind w:left="720" w:hanging="360"/>
      </w:pPr>
      <w:rPr>
        <w:rFonts w:ascii="Symbol" w:eastAsia="Times New Roman" w:hAnsi="Symbol" w:hint="default"/>
        <w:sz w:val="28"/>
      </w:rPr>
    </w:lvl>
    <w:lvl w:ilvl="1" w:tplc="040D0003" w:tentative="1">
      <w:start w:val="1"/>
      <w:numFmt w:val="bullet"/>
      <w:lvlText w:val="o"/>
      <w:lvlJc w:val="left"/>
      <w:pPr>
        <w:tabs>
          <w:tab w:val="num" w:pos="1440"/>
        </w:tabs>
        <w:ind w:left="1440" w:hanging="360"/>
      </w:pPr>
      <w:rPr>
        <w:rFonts w:ascii="Courier New" w:hAnsi="Courier New" w:hint="default"/>
      </w:rPr>
    </w:lvl>
    <w:lvl w:ilvl="2" w:tplc="040D0005" w:tentative="1">
      <w:start w:val="1"/>
      <w:numFmt w:val="bullet"/>
      <w:lvlText w:val=""/>
      <w:lvlJc w:val="left"/>
      <w:pPr>
        <w:tabs>
          <w:tab w:val="num" w:pos="2160"/>
        </w:tabs>
        <w:ind w:left="2160" w:hanging="360"/>
      </w:pPr>
      <w:rPr>
        <w:rFonts w:ascii="Wingdings" w:hAnsi="Wingdings" w:hint="default"/>
      </w:rPr>
    </w:lvl>
    <w:lvl w:ilvl="3" w:tplc="040D0001" w:tentative="1">
      <w:start w:val="1"/>
      <w:numFmt w:val="bullet"/>
      <w:lvlText w:val=""/>
      <w:lvlJc w:val="left"/>
      <w:pPr>
        <w:tabs>
          <w:tab w:val="num" w:pos="2880"/>
        </w:tabs>
        <w:ind w:left="2880" w:hanging="360"/>
      </w:pPr>
      <w:rPr>
        <w:rFonts w:ascii="Symbol" w:hAnsi="Symbol" w:hint="default"/>
      </w:rPr>
    </w:lvl>
    <w:lvl w:ilvl="4" w:tplc="040D0003" w:tentative="1">
      <w:start w:val="1"/>
      <w:numFmt w:val="bullet"/>
      <w:lvlText w:val="o"/>
      <w:lvlJc w:val="left"/>
      <w:pPr>
        <w:tabs>
          <w:tab w:val="num" w:pos="3600"/>
        </w:tabs>
        <w:ind w:left="3600" w:hanging="360"/>
      </w:pPr>
      <w:rPr>
        <w:rFonts w:ascii="Courier New" w:hAnsi="Courier New" w:hint="default"/>
      </w:rPr>
    </w:lvl>
    <w:lvl w:ilvl="5" w:tplc="040D0005" w:tentative="1">
      <w:start w:val="1"/>
      <w:numFmt w:val="bullet"/>
      <w:lvlText w:val=""/>
      <w:lvlJc w:val="left"/>
      <w:pPr>
        <w:tabs>
          <w:tab w:val="num" w:pos="4320"/>
        </w:tabs>
        <w:ind w:left="4320" w:hanging="360"/>
      </w:pPr>
      <w:rPr>
        <w:rFonts w:ascii="Wingdings" w:hAnsi="Wingdings" w:hint="default"/>
      </w:rPr>
    </w:lvl>
    <w:lvl w:ilvl="6" w:tplc="040D0001" w:tentative="1">
      <w:start w:val="1"/>
      <w:numFmt w:val="bullet"/>
      <w:lvlText w:val=""/>
      <w:lvlJc w:val="left"/>
      <w:pPr>
        <w:tabs>
          <w:tab w:val="num" w:pos="5040"/>
        </w:tabs>
        <w:ind w:left="5040" w:hanging="360"/>
      </w:pPr>
      <w:rPr>
        <w:rFonts w:ascii="Symbol" w:hAnsi="Symbol" w:hint="default"/>
      </w:rPr>
    </w:lvl>
    <w:lvl w:ilvl="7" w:tplc="040D0003" w:tentative="1">
      <w:start w:val="1"/>
      <w:numFmt w:val="bullet"/>
      <w:lvlText w:val="o"/>
      <w:lvlJc w:val="left"/>
      <w:pPr>
        <w:tabs>
          <w:tab w:val="num" w:pos="5760"/>
        </w:tabs>
        <w:ind w:left="5760" w:hanging="360"/>
      </w:pPr>
      <w:rPr>
        <w:rFonts w:ascii="Courier New" w:hAnsi="Courier New" w:hint="default"/>
      </w:rPr>
    </w:lvl>
    <w:lvl w:ilvl="8" w:tplc="040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4FB09F2"/>
    <w:multiLevelType w:val="hybridMultilevel"/>
    <w:tmpl w:val="5692825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453B2C70"/>
    <w:multiLevelType w:val="hybridMultilevel"/>
    <w:tmpl w:val="BC0A6BD4"/>
    <w:lvl w:ilvl="0" w:tplc="10F25BFE">
      <w:start w:val="1"/>
      <w:numFmt w:val="hebrew1"/>
      <w:lvlText w:val="%1."/>
      <w:lvlJc w:val="left"/>
      <w:pPr>
        <w:tabs>
          <w:tab w:val="num" w:pos="720"/>
        </w:tabs>
        <w:ind w:left="720" w:hanging="360"/>
      </w:pPr>
      <w:rPr>
        <w:rFonts w:cs="Times New Roman" w:hint="default"/>
        <w:sz w:val="2"/>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4622378E"/>
    <w:multiLevelType w:val="hybridMultilevel"/>
    <w:tmpl w:val="C074B972"/>
    <w:lvl w:ilvl="0" w:tplc="FFFFFFFF">
      <w:numFmt w:val="irohaFullWidth"/>
      <w:lvlText w:val=""/>
      <w:lvlJc w:val="left"/>
      <w:pPr>
        <w:tabs>
          <w:tab w:val="num" w:pos="720"/>
        </w:tabs>
        <w:ind w:left="720" w:hanging="360"/>
      </w:pPr>
      <w:rPr>
        <w:rFonts w:ascii="Symbol" w:eastAsia="Times New Roman" w:hAnsi="Symbol" w:cs="David" w:hint="default"/>
      </w:rPr>
    </w:lvl>
    <w:lvl w:ilvl="1" w:tplc="FFFFFFFF" w:tentative="1">
      <w:start w:val="1"/>
      <w:numFmt w:val="irohaFullWidth"/>
      <w:lvlText w:val="o"/>
      <w:lvlJc w:val="left"/>
      <w:pPr>
        <w:tabs>
          <w:tab w:val="num" w:pos="1440"/>
        </w:tabs>
        <w:ind w:left="1440" w:hanging="360"/>
      </w:pPr>
      <w:rPr>
        <w:rFonts w:ascii="Courier New" w:hAnsi="Courier New" w:cs="Times New Roman" w:hint="default"/>
      </w:rPr>
    </w:lvl>
    <w:lvl w:ilvl="2" w:tplc="FFFFFFFF" w:tentative="1">
      <w:start w:val="1"/>
      <w:numFmt w:val="irohaFullWidth"/>
      <w:lvlText w:val=""/>
      <w:lvlJc w:val="left"/>
      <w:pPr>
        <w:tabs>
          <w:tab w:val="num" w:pos="2160"/>
        </w:tabs>
        <w:ind w:left="2160" w:hanging="360"/>
      </w:pPr>
      <w:rPr>
        <w:rFonts w:ascii="Wingdings" w:hAnsi="Wingdings" w:cs="Times New Roman" w:hint="default"/>
      </w:rPr>
    </w:lvl>
    <w:lvl w:ilvl="3" w:tplc="FFFFFFFF" w:tentative="1">
      <w:start w:val="1"/>
      <w:numFmt w:val="irohaFullWidth"/>
      <w:lvlText w:val=""/>
      <w:lvlJc w:val="left"/>
      <w:pPr>
        <w:tabs>
          <w:tab w:val="num" w:pos="2880"/>
        </w:tabs>
        <w:ind w:left="2880" w:hanging="360"/>
      </w:pPr>
      <w:rPr>
        <w:rFonts w:ascii="Symbol" w:hAnsi="Symbol" w:cs="Times New Roman" w:hint="default"/>
      </w:rPr>
    </w:lvl>
    <w:lvl w:ilvl="4" w:tplc="FFFFFFFF" w:tentative="1">
      <w:start w:val="1"/>
      <w:numFmt w:val="irohaFullWidth"/>
      <w:lvlText w:val="o"/>
      <w:lvlJc w:val="left"/>
      <w:pPr>
        <w:tabs>
          <w:tab w:val="num" w:pos="3600"/>
        </w:tabs>
        <w:ind w:left="3600" w:hanging="360"/>
      </w:pPr>
      <w:rPr>
        <w:rFonts w:ascii="Courier New" w:hAnsi="Courier New" w:cs="Times New Roman" w:hint="default"/>
      </w:rPr>
    </w:lvl>
    <w:lvl w:ilvl="5" w:tplc="FFFFFFFF" w:tentative="1">
      <w:start w:val="1"/>
      <w:numFmt w:val="irohaFullWidth"/>
      <w:lvlText w:val=""/>
      <w:lvlJc w:val="left"/>
      <w:pPr>
        <w:tabs>
          <w:tab w:val="num" w:pos="4320"/>
        </w:tabs>
        <w:ind w:left="4320" w:hanging="360"/>
      </w:pPr>
      <w:rPr>
        <w:rFonts w:ascii="Wingdings" w:hAnsi="Wingdings" w:cs="Times New Roman" w:hint="default"/>
      </w:rPr>
    </w:lvl>
    <w:lvl w:ilvl="6" w:tplc="FFFFFFFF" w:tentative="1">
      <w:start w:val="1"/>
      <w:numFmt w:val="irohaFullWidth"/>
      <w:lvlText w:val=""/>
      <w:lvlJc w:val="left"/>
      <w:pPr>
        <w:tabs>
          <w:tab w:val="num" w:pos="5040"/>
        </w:tabs>
        <w:ind w:left="5040" w:hanging="360"/>
      </w:pPr>
      <w:rPr>
        <w:rFonts w:ascii="Symbol" w:hAnsi="Symbol" w:cs="Times New Roman" w:hint="default"/>
      </w:rPr>
    </w:lvl>
    <w:lvl w:ilvl="7" w:tplc="FFFFFFFF" w:tentative="1">
      <w:start w:val="1"/>
      <w:numFmt w:val="irohaFullWidth"/>
      <w:lvlText w:val="o"/>
      <w:lvlJc w:val="left"/>
      <w:pPr>
        <w:tabs>
          <w:tab w:val="num" w:pos="5760"/>
        </w:tabs>
        <w:ind w:left="5760" w:hanging="360"/>
      </w:pPr>
      <w:rPr>
        <w:rFonts w:ascii="Courier New" w:hAnsi="Courier New" w:cs="Times New Roman" w:hint="default"/>
      </w:rPr>
    </w:lvl>
    <w:lvl w:ilvl="8" w:tplc="FFFFFFFF" w:tentative="1">
      <w:start w:val="1"/>
      <w:numFmt w:val="irohaFullWidth"/>
      <w:lvlText w:val=""/>
      <w:lvlJc w:val="left"/>
      <w:pPr>
        <w:tabs>
          <w:tab w:val="num" w:pos="6480"/>
        </w:tabs>
        <w:ind w:left="6480" w:hanging="360"/>
      </w:pPr>
      <w:rPr>
        <w:rFonts w:ascii="Wingdings" w:hAnsi="Wingdings" w:cs="Times New Roman" w:hint="default"/>
      </w:rPr>
    </w:lvl>
  </w:abstractNum>
  <w:abstractNum w:abstractNumId="21" w15:restartNumberingAfterBreak="0">
    <w:nsid w:val="47FC42E1"/>
    <w:multiLevelType w:val="hybridMultilevel"/>
    <w:tmpl w:val="00DC4C8A"/>
    <w:lvl w:ilvl="0" w:tplc="04090013">
      <w:start w:val="1"/>
      <w:numFmt w:val="hebrew1"/>
      <w:lvlText w:val="%1."/>
      <w:lvlJc w:val="center"/>
      <w:pPr>
        <w:tabs>
          <w:tab w:val="num" w:pos="720"/>
        </w:tabs>
        <w:ind w:left="720" w:hanging="360"/>
      </w:pPr>
      <w:rPr>
        <w:rFonts w:cs="Times New Roman"/>
        <w:sz w:val="2"/>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4AFD1CC2"/>
    <w:multiLevelType w:val="hybridMultilevel"/>
    <w:tmpl w:val="D8F2503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4DEA4157"/>
    <w:multiLevelType w:val="hybridMultilevel"/>
    <w:tmpl w:val="5692825E"/>
    <w:lvl w:ilvl="0" w:tplc="0409000F">
      <w:start w:val="1"/>
      <w:numFmt w:val="decimal"/>
      <w:lvlText w:val="%1."/>
      <w:lvlJc w:val="left"/>
      <w:pPr>
        <w:ind w:left="644"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53DC707D"/>
    <w:multiLevelType w:val="hybridMultilevel"/>
    <w:tmpl w:val="57BADB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6EB2C5B"/>
    <w:multiLevelType w:val="hybridMultilevel"/>
    <w:tmpl w:val="9F3081E0"/>
    <w:lvl w:ilvl="0" w:tplc="10F25BFE">
      <w:start w:val="1"/>
      <w:numFmt w:val="hebrew1"/>
      <w:lvlText w:val="%1."/>
      <w:lvlJc w:val="left"/>
      <w:pPr>
        <w:tabs>
          <w:tab w:val="num" w:pos="720"/>
        </w:tabs>
        <w:ind w:left="720" w:hanging="360"/>
      </w:pPr>
      <w:rPr>
        <w:rFonts w:cs="Times New Roman" w:hint="default"/>
        <w:sz w:val="2"/>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594A430E"/>
    <w:multiLevelType w:val="hybridMultilevel"/>
    <w:tmpl w:val="8B1AF5E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5FCA0AB7"/>
    <w:multiLevelType w:val="hybridMultilevel"/>
    <w:tmpl w:val="959C2E50"/>
    <w:lvl w:ilvl="0" w:tplc="181C3F54">
      <w:start w:val="1"/>
      <w:numFmt w:val="decimal"/>
      <w:lvlText w:val="%1."/>
      <w:lvlJc w:val="left"/>
      <w:pPr>
        <w:ind w:left="714" w:hanging="360"/>
      </w:pPr>
      <w:rPr>
        <w:rFonts w:ascii="Times New Roman" w:eastAsia="Times New Roman" w:hAnsi="Times New Roman" w:cs="David"/>
      </w:rPr>
    </w:lvl>
    <w:lvl w:ilvl="1" w:tplc="04090019" w:tentative="1">
      <w:start w:val="1"/>
      <w:numFmt w:val="lowerLetter"/>
      <w:lvlText w:val="%2."/>
      <w:lvlJc w:val="left"/>
      <w:pPr>
        <w:ind w:left="1434" w:hanging="360"/>
      </w:pPr>
      <w:rPr>
        <w:rFonts w:cs="Times New Roman"/>
      </w:rPr>
    </w:lvl>
    <w:lvl w:ilvl="2" w:tplc="0409001B" w:tentative="1">
      <w:start w:val="1"/>
      <w:numFmt w:val="lowerRoman"/>
      <w:lvlText w:val="%3."/>
      <w:lvlJc w:val="right"/>
      <w:pPr>
        <w:ind w:left="2154" w:hanging="180"/>
      </w:pPr>
      <w:rPr>
        <w:rFonts w:cs="Times New Roman"/>
      </w:rPr>
    </w:lvl>
    <w:lvl w:ilvl="3" w:tplc="0409000F" w:tentative="1">
      <w:start w:val="1"/>
      <w:numFmt w:val="decimal"/>
      <w:lvlText w:val="%4."/>
      <w:lvlJc w:val="left"/>
      <w:pPr>
        <w:ind w:left="2874" w:hanging="360"/>
      </w:pPr>
      <w:rPr>
        <w:rFonts w:cs="Times New Roman"/>
      </w:rPr>
    </w:lvl>
    <w:lvl w:ilvl="4" w:tplc="04090019" w:tentative="1">
      <w:start w:val="1"/>
      <w:numFmt w:val="lowerLetter"/>
      <w:lvlText w:val="%5."/>
      <w:lvlJc w:val="left"/>
      <w:pPr>
        <w:ind w:left="3594" w:hanging="360"/>
      </w:pPr>
      <w:rPr>
        <w:rFonts w:cs="Times New Roman"/>
      </w:rPr>
    </w:lvl>
    <w:lvl w:ilvl="5" w:tplc="0409001B" w:tentative="1">
      <w:start w:val="1"/>
      <w:numFmt w:val="lowerRoman"/>
      <w:lvlText w:val="%6."/>
      <w:lvlJc w:val="right"/>
      <w:pPr>
        <w:ind w:left="4314" w:hanging="180"/>
      </w:pPr>
      <w:rPr>
        <w:rFonts w:cs="Times New Roman"/>
      </w:rPr>
    </w:lvl>
    <w:lvl w:ilvl="6" w:tplc="0409000F" w:tentative="1">
      <w:start w:val="1"/>
      <w:numFmt w:val="decimal"/>
      <w:lvlText w:val="%7."/>
      <w:lvlJc w:val="left"/>
      <w:pPr>
        <w:ind w:left="5034" w:hanging="360"/>
      </w:pPr>
      <w:rPr>
        <w:rFonts w:cs="Times New Roman"/>
      </w:rPr>
    </w:lvl>
    <w:lvl w:ilvl="7" w:tplc="04090019" w:tentative="1">
      <w:start w:val="1"/>
      <w:numFmt w:val="lowerLetter"/>
      <w:lvlText w:val="%8."/>
      <w:lvlJc w:val="left"/>
      <w:pPr>
        <w:ind w:left="5754" w:hanging="360"/>
      </w:pPr>
      <w:rPr>
        <w:rFonts w:cs="Times New Roman"/>
      </w:rPr>
    </w:lvl>
    <w:lvl w:ilvl="8" w:tplc="0409001B" w:tentative="1">
      <w:start w:val="1"/>
      <w:numFmt w:val="lowerRoman"/>
      <w:lvlText w:val="%9."/>
      <w:lvlJc w:val="right"/>
      <w:pPr>
        <w:ind w:left="6474" w:hanging="180"/>
      </w:pPr>
      <w:rPr>
        <w:rFonts w:cs="Times New Roman"/>
      </w:rPr>
    </w:lvl>
  </w:abstractNum>
  <w:abstractNum w:abstractNumId="28" w15:restartNumberingAfterBreak="0">
    <w:nsid w:val="61C21441"/>
    <w:multiLevelType w:val="hybridMultilevel"/>
    <w:tmpl w:val="81AC1EE4"/>
    <w:lvl w:ilvl="0" w:tplc="C130CC8A">
      <w:start w:val="1"/>
      <w:numFmt w:val="none"/>
      <w:lvlText w:val=""/>
      <w:lvlJc w:val="center"/>
      <w:pPr>
        <w:tabs>
          <w:tab w:val="num" w:pos="648"/>
        </w:tabs>
        <w:ind w:left="360" w:hanging="72"/>
      </w:pPr>
      <w:rPr>
        <w:rFonts w:ascii="Wingdings" w:hAnsi="Wingdings" w:cs="Times New Roman" w:hint="default"/>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64421667"/>
    <w:multiLevelType w:val="hybridMultilevel"/>
    <w:tmpl w:val="ECB80450"/>
    <w:lvl w:ilvl="0" w:tplc="0409000F">
      <w:start w:val="1"/>
      <w:numFmt w:val="decimal"/>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647C41A3"/>
    <w:multiLevelType w:val="hybridMultilevel"/>
    <w:tmpl w:val="5C823B2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65F70C24"/>
    <w:multiLevelType w:val="hybridMultilevel"/>
    <w:tmpl w:val="04A8EF42"/>
    <w:lvl w:ilvl="0" w:tplc="10F25BFE">
      <w:start w:val="1"/>
      <w:numFmt w:val="hebrew1"/>
      <w:lvlText w:val="%1."/>
      <w:lvlJc w:val="left"/>
      <w:pPr>
        <w:tabs>
          <w:tab w:val="num" w:pos="720"/>
        </w:tabs>
        <w:ind w:left="720" w:hanging="360"/>
      </w:pPr>
      <w:rPr>
        <w:rFonts w:cs="Times New Roman" w:hint="default"/>
        <w:sz w:val="2"/>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6DB50E66"/>
    <w:multiLevelType w:val="hybridMultilevel"/>
    <w:tmpl w:val="180E541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15:restartNumberingAfterBreak="0">
    <w:nsid w:val="719233D4"/>
    <w:multiLevelType w:val="hybridMultilevel"/>
    <w:tmpl w:val="1A5A60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2A20987"/>
    <w:multiLevelType w:val="hybridMultilevel"/>
    <w:tmpl w:val="7A3CF23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15:restartNumberingAfterBreak="0">
    <w:nsid w:val="7B856070"/>
    <w:multiLevelType w:val="hybridMultilevel"/>
    <w:tmpl w:val="9E44038E"/>
    <w:lvl w:ilvl="0" w:tplc="81CCDAEE">
      <w:start w:val="1"/>
      <w:numFmt w:val="decimal"/>
      <w:lvlText w:val="%1."/>
      <w:lvlJc w:val="left"/>
      <w:pPr>
        <w:ind w:left="717" w:hanging="360"/>
      </w:pPr>
      <w:rPr>
        <w:rFonts w:cs="Times New Roman" w:hint="default"/>
      </w:rPr>
    </w:lvl>
    <w:lvl w:ilvl="1" w:tplc="04090019" w:tentative="1">
      <w:start w:val="1"/>
      <w:numFmt w:val="lowerLetter"/>
      <w:lvlText w:val="%2."/>
      <w:lvlJc w:val="left"/>
      <w:pPr>
        <w:ind w:left="1437" w:hanging="360"/>
      </w:pPr>
      <w:rPr>
        <w:rFonts w:cs="Times New Roman"/>
      </w:rPr>
    </w:lvl>
    <w:lvl w:ilvl="2" w:tplc="0409001B" w:tentative="1">
      <w:start w:val="1"/>
      <w:numFmt w:val="lowerRoman"/>
      <w:lvlText w:val="%3."/>
      <w:lvlJc w:val="right"/>
      <w:pPr>
        <w:ind w:left="2157" w:hanging="180"/>
      </w:pPr>
      <w:rPr>
        <w:rFonts w:cs="Times New Roman"/>
      </w:rPr>
    </w:lvl>
    <w:lvl w:ilvl="3" w:tplc="0409000F" w:tentative="1">
      <w:start w:val="1"/>
      <w:numFmt w:val="decimal"/>
      <w:lvlText w:val="%4."/>
      <w:lvlJc w:val="left"/>
      <w:pPr>
        <w:ind w:left="2877" w:hanging="360"/>
      </w:pPr>
      <w:rPr>
        <w:rFonts w:cs="Times New Roman"/>
      </w:rPr>
    </w:lvl>
    <w:lvl w:ilvl="4" w:tplc="04090019" w:tentative="1">
      <w:start w:val="1"/>
      <w:numFmt w:val="lowerLetter"/>
      <w:lvlText w:val="%5."/>
      <w:lvlJc w:val="left"/>
      <w:pPr>
        <w:ind w:left="3597" w:hanging="360"/>
      </w:pPr>
      <w:rPr>
        <w:rFonts w:cs="Times New Roman"/>
      </w:rPr>
    </w:lvl>
    <w:lvl w:ilvl="5" w:tplc="0409001B" w:tentative="1">
      <w:start w:val="1"/>
      <w:numFmt w:val="lowerRoman"/>
      <w:lvlText w:val="%6."/>
      <w:lvlJc w:val="right"/>
      <w:pPr>
        <w:ind w:left="4317" w:hanging="180"/>
      </w:pPr>
      <w:rPr>
        <w:rFonts w:cs="Times New Roman"/>
      </w:rPr>
    </w:lvl>
    <w:lvl w:ilvl="6" w:tplc="0409000F" w:tentative="1">
      <w:start w:val="1"/>
      <w:numFmt w:val="decimal"/>
      <w:lvlText w:val="%7."/>
      <w:lvlJc w:val="left"/>
      <w:pPr>
        <w:ind w:left="5037" w:hanging="360"/>
      </w:pPr>
      <w:rPr>
        <w:rFonts w:cs="Times New Roman"/>
      </w:rPr>
    </w:lvl>
    <w:lvl w:ilvl="7" w:tplc="04090019" w:tentative="1">
      <w:start w:val="1"/>
      <w:numFmt w:val="lowerLetter"/>
      <w:lvlText w:val="%8."/>
      <w:lvlJc w:val="left"/>
      <w:pPr>
        <w:ind w:left="5757" w:hanging="360"/>
      </w:pPr>
      <w:rPr>
        <w:rFonts w:cs="Times New Roman"/>
      </w:rPr>
    </w:lvl>
    <w:lvl w:ilvl="8" w:tplc="0409001B" w:tentative="1">
      <w:start w:val="1"/>
      <w:numFmt w:val="lowerRoman"/>
      <w:lvlText w:val="%9."/>
      <w:lvlJc w:val="right"/>
      <w:pPr>
        <w:ind w:left="6477" w:hanging="180"/>
      </w:pPr>
      <w:rPr>
        <w:rFonts w:cs="Times New Roman"/>
      </w:rPr>
    </w:lvl>
  </w:abstractNum>
  <w:abstractNum w:abstractNumId="36" w15:restartNumberingAfterBreak="0">
    <w:nsid w:val="7E6C3A87"/>
    <w:multiLevelType w:val="hybridMultilevel"/>
    <w:tmpl w:val="FBF217BC"/>
    <w:lvl w:ilvl="0" w:tplc="B478E90C">
      <w:start w:val="1"/>
      <w:numFmt w:val="hebrew1"/>
      <w:lvlText w:val="(%1)"/>
      <w:lvlJc w:val="left"/>
      <w:pPr>
        <w:ind w:left="1074" w:hanging="360"/>
      </w:pPr>
      <w:rPr>
        <w:rFonts w:cs="Times New Roman" w:hint="default"/>
        <w:sz w:val="2"/>
        <w:szCs w:val="20"/>
      </w:rPr>
    </w:lvl>
    <w:lvl w:ilvl="1" w:tplc="04090019" w:tentative="1">
      <w:start w:val="1"/>
      <w:numFmt w:val="lowerLetter"/>
      <w:lvlText w:val="%2."/>
      <w:lvlJc w:val="left"/>
      <w:pPr>
        <w:ind w:left="1794" w:hanging="360"/>
      </w:pPr>
      <w:rPr>
        <w:rFonts w:cs="Times New Roman"/>
      </w:rPr>
    </w:lvl>
    <w:lvl w:ilvl="2" w:tplc="0409001B" w:tentative="1">
      <w:start w:val="1"/>
      <w:numFmt w:val="lowerRoman"/>
      <w:lvlText w:val="%3."/>
      <w:lvlJc w:val="right"/>
      <w:pPr>
        <w:ind w:left="2514" w:hanging="180"/>
      </w:pPr>
      <w:rPr>
        <w:rFonts w:cs="Times New Roman"/>
      </w:rPr>
    </w:lvl>
    <w:lvl w:ilvl="3" w:tplc="0409000F" w:tentative="1">
      <w:start w:val="1"/>
      <w:numFmt w:val="decimal"/>
      <w:lvlText w:val="%4."/>
      <w:lvlJc w:val="left"/>
      <w:pPr>
        <w:ind w:left="3234" w:hanging="360"/>
      </w:pPr>
      <w:rPr>
        <w:rFonts w:cs="Times New Roman"/>
      </w:rPr>
    </w:lvl>
    <w:lvl w:ilvl="4" w:tplc="04090019" w:tentative="1">
      <w:start w:val="1"/>
      <w:numFmt w:val="lowerLetter"/>
      <w:lvlText w:val="%5."/>
      <w:lvlJc w:val="left"/>
      <w:pPr>
        <w:ind w:left="3954" w:hanging="360"/>
      </w:pPr>
      <w:rPr>
        <w:rFonts w:cs="Times New Roman"/>
      </w:rPr>
    </w:lvl>
    <w:lvl w:ilvl="5" w:tplc="0409001B" w:tentative="1">
      <w:start w:val="1"/>
      <w:numFmt w:val="lowerRoman"/>
      <w:lvlText w:val="%6."/>
      <w:lvlJc w:val="right"/>
      <w:pPr>
        <w:ind w:left="4674" w:hanging="180"/>
      </w:pPr>
      <w:rPr>
        <w:rFonts w:cs="Times New Roman"/>
      </w:rPr>
    </w:lvl>
    <w:lvl w:ilvl="6" w:tplc="0409000F" w:tentative="1">
      <w:start w:val="1"/>
      <w:numFmt w:val="decimal"/>
      <w:lvlText w:val="%7."/>
      <w:lvlJc w:val="left"/>
      <w:pPr>
        <w:ind w:left="5394" w:hanging="360"/>
      </w:pPr>
      <w:rPr>
        <w:rFonts w:cs="Times New Roman"/>
      </w:rPr>
    </w:lvl>
    <w:lvl w:ilvl="7" w:tplc="04090019" w:tentative="1">
      <w:start w:val="1"/>
      <w:numFmt w:val="lowerLetter"/>
      <w:lvlText w:val="%8."/>
      <w:lvlJc w:val="left"/>
      <w:pPr>
        <w:ind w:left="6114" w:hanging="360"/>
      </w:pPr>
      <w:rPr>
        <w:rFonts w:cs="Times New Roman"/>
      </w:rPr>
    </w:lvl>
    <w:lvl w:ilvl="8" w:tplc="0409001B" w:tentative="1">
      <w:start w:val="1"/>
      <w:numFmt w:val="lowerRoman"/>
      <w:lvlText w:val="%9."/>
      <w:lvlJc w:val="right"/>
      <w:pPr>
        <w:ind w:left="6834" w:hanging="180"/>
      </w:pPr>
      <w:rPr>
        <w:rFonts w:cs="Times New Roman"/>
      </w:rPr>
    </w:lvl>
  </w:abstractNum>
  <w:num w:numId="1">
    <w:abstractNumId w:val="28"/>
  </w:num>
  <w:num w:numId="2">
    <w:abstractNumId w:val="14"/>
  </w:num>
  <w:num w:numId="3">
    <w:abstractNumId w:val="17"/>
  </w:num>
  <w:num w:numId="4">
    <w:abstractNumId w:val="20"/>
  </w:num>
  <w:num w:numId="5">
    <w:abstractNumId w:val="3"/>
  </w:num>
  <w:num w:numId="6">
    <w:abstractNumId w:val="19"/>
  </w:num>
  <w:num w:numId="7">
    <w:abstractNumId w:val="1"/>
  </w:num>
  <w:num w:numId="8">
    <w:abstractNumId w:val="24"/>
  </w:num>
  <w:num w:numId="9">
    <w:abstractNumId w:val="4"/>
  </w:num>
  <w:num w:numId="10">
    <w:abstractNumId w:val="25"/>
  </w:num>
  <w:num w:numId="11">
    <w:abstractNumId w:val="31"/>
  </w:num>
  <w:num w:numId="12">
    <w:abstractNumId w:val="15"/>
  </w:num>
  <w:num w:numId="13">
    <w:abstractNumId w:val="33"/>
  </w:num>
  <w:num w:numId="14">
    <w:abstractNumId w:val="29"/>
  </w:num>
  <w:num w:numId="15">
    <w:abstractNumId w:val="11"/>
  </w:num>
  <w:num w:numId="16">
    <w:abstractNumId w:val="8"/>
  </w:num>
  <w:num w:numId="17">
    <w:abstractNumId w:val="21"/>
  </w:num>
  <w:num w:numId="18">
    <w:abstractNumId w:val="23"/>
  </w:num>
  <w:num w:numId="19">
    <w:abstractNumId w:val="18"/>
  </w:num>
  <w:num w:numId="20">
    <w:abstractNumId w:val="6"/>
  </w:num>
  <w:num w:numId="21">
    <w:abstractNumId w:val="10"/>
  </w:num>
  <w:num w:numId="22">
    <w:abstractNumId w:val="5"/>
  </w:num>
  <w:num w:numId="23">
    <w:abstractNumId w:val="30"/>
  </w:num>
  <w:num w:numId="24">
    <w:abstractNumId w:val="22"/>
  </w:num>
  <w:num w:numId="25">
    <w:abstractNumId w:val="16"/>
  </w:num>
  <w:num w:numId="26">
    <w:abstractNumId w:val="26"/>
  </w:num>
  <w:num w:numId="27">
    <w:abstractNumId w:val="9"/>
  </w:num>
  <w:num w:numId="28">
    <w:abstractNumId w:val="34"/>
  </w:num>
  <w:num w:numId="29">
    <w:abstractNumId w:val="12"/>
  </w:num>
  <w:num w:numId="30">
    <w:abstractNumId w:val="35"/>
  </w:num>
  <w:num w:numId="31">
    <w:abstractNumId w:val="32"/>
  </w:num>
  <w:num w:numId="32">
    <w:abstractNumId w:val="0"/>
  </w:num>
  <w:num w:numId="33">
    <w:abstractNumId w:val="7"/>
  </w:num>
  <w:num w:numId="34">
    <w:abstractNumId w:val="27"/>
  </w:num>
  <w:num w:numId="35">
    <w:abstractNumId w:val="13"/>
  </w:num>
  <w:num w:numId="36">
    <w:abstractNumId w:val="36"/>
  </w:num>
  <w:num w:numId="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12F"/>
    <w:rsid w:val="0000267A"/>
    <w:rsid w:val="0001496B"/>
    <w:rsid w:val="00022AF4"/>
    <w:rsid w:val="00027EB6"/>
    <w:rsid w:val="00036B4D"/>
    <w:rsid w:val="0005412E"/>
    <w:rsid w:val="000609D2"/>
    <w:rsid w:val="000756B2"/>
    <w:rsid w:val="00075E20"/>
    <w:rsid w:val="00080161"/>
    <w:rsid w:val="00082E09"/>
    <w:rsid w:val="0008360E"/>
    <w:rsid w:val="0008394C"/>
    <w:rsid w:val="000903A3"/>
    <w:rsid w:val="000A33E2"/>
    <w:rsid w:val="000A70BC"/>
    <w:rsid w:val="000B09CD"/>
    <w:rsid w:val="000B1A94"/>
    <w:rsid w:val="000B2497"/>
    <w:rsid w:val="000B56C3"/>
    <w:rsid w:val="000B6603"/>
    <w:rsid w:val="000C01E5"/>
    <w:rsid w:val="000C3071"/>
    <w:rsid w:val="000C6ED2"/>
    <w:rsid w:val="000D4D3E"/>
    <w:rsid w:val="000D7412"/>
    <w:rsid w:val="000E3627"/>
    <w:rsid w:val="000F49A5"/>
    <w:rsid w:val="000F6F50"/>
    <w:rsid w:val="001000BC"/>
    <w:rsid w:val="00107B9B"/>
    <w:rsid w:val="00110009"/>
    <w:rsid w:val="00114F54"/>
    <w:rsid w:val="001151BE"/>
    <w:rsid w:val="001236B6"/>
    <w:rsid w:val="00126278"/>
    <w:rsid w:val="00126F03"/>
    <w:rsid w:val="001273D3"/>
    <w:rsid w:val="00137408"/>
    <w:rsid w:val="00142BFA"/>
    <w:rsid w:val="001525AD"/>
    <w:rsid w:val="00160D00"/>
    <w:rsid w:val="0017536C"/>
    <w:rsid w:val="00175902"/>
    <w:rsid w:val="00176A7E"/>
    <w:rsid w:val="00177DE6"/>
    <w:rsid w:val="00181F4E"/>
    <w:rsid w:val="00182988"/>
    <w:rsid w:val="00191059"/>
    <w:rsid w:val="00192176"/>
    <w:rsid w:val="001A676B"/>
    <w:rsid w:val="001A7452"/>
    <w:rsid w:val="001A7990"/>
    <w:rsid w:val="001B101A"/>
    <w:rsid w:val="001B3667"/>
    <w:rsid w:val="001B7AA5"/>
    <w:rsid w:val="001C5B8B"/>
    <w:rsid w:val="001D1B5D"/>
    <w:rsid w:val="001D600E"/>
    <w:rsid w:val="001D7540"/>
    <w:rsid w:val="001E6265"/>
    <w:rsid w:val="001F04B0"/>
    <w:rsid w:val="001F0D84"/>
    <w:rsid w:val="001F1556"/>
    <w:rsid w:val="001F6B2B"/>
    <w:rsid w:val="00202C6F"/>
    <w:rsid w:val="002036AF"/>
    <w:rsid w:val="00204DB2"/>
    <w:rsid w:val="002108CF"/>
    <w:rsid w:val="00210E16"/>
    <w:rsid w:val="00213587"/>
    <w:rsid w:val="0021631E"/>
    <w:rsid w:val="00220DF4"/>
    <w:rsid w:val="002303E5"/>
    <w:rsid w:val="002478E6"/>
    <w:rsid w:val="002511DB"/>
    <w:rsid w:val="00251EE1"/>
    <w:rsid w:val="002527C1"/>
    <w:rsid w:val="00255ABB"/>
    <w:rsid w:val="002613EA"/>
    <w:rsid w:val="00261C1D"/>
    <w:rsid w:val="002640BB"/>
    <w:rsid w:val="002653DB"/>
    <w:rsid w:val="002678C3"/>
    <w:rsid w:val="00277085"/>
    <w:rsid w:val="00287788"/>
    <w:rsid w:val="002937D8"/>
    <w:rsid w:val="002A2B81"/>
    <w:rsid w:val="002A424E"/>
    <w:rsid w:val="002A474B"/>
    <w:rsid w:val="002B5E65"/>
    <w:rsid w:val="002C12D4"/>
    <w:rsid w:val="002C327E"/>
    <w:rsid w:val="002D3E09"/>
    <w:rsid w:val="002D765B"/>
    <w:rsid w:val="002E4828"/>
    <w:rsid w:val="002E5D8D"/>
    <w:rsid w:val="002E7FC6"/>
    <w:rsid w:val="002F07B6"/>
    <w:rsid w:val="002F5045"/>
    <w:rsid w:val="003007EC"/>
    <w:rsid w:val="003021AE"/>
    <w:rsid w:val="00305822"/>
    <w:rsid w:val="00311696"/>
    <w:rsid w:val="00311A6B"/>
    <w:rsid w:val="0031320E"/>
    <w:rsid w:val="00313F97"/>
    <w:rsid w:val="0031432E"/>
    <w:rsid w:val="003155C5"/>
    <w:rsid w:val="003164C2"/>
    <w:rsid w:val="0032260D"/>
    <w:rsid w:val="003302BF"/>
    <w:rsid w:val="00330390"/>
    <w:rsid w:val="00331DEB"/>
    <w:rsid w:val="003322BC"/>
    <w:rsid w:val="00340A80"/>
    <w:rsid w:val="003426C4"/>
    <w:rsid w:val="00344A46"/>
    <w:rsid w:val="0035060B"/>
    <w:rsid w:val="00351DDF"/>
    <w:rsid w:val="0035406E"/>
    <w:rsid w:val="00354D01"/>
    <w:rsid w:val="00356886"/>
    <w:rsid w:val="0036732B"/>
    <w:rsid w:val="00367D14"/>
    <w:rsid w:val="00375703"/>
    <w:rsid w:val="00383943"/>
    <w:rsid w:val="00391376"/>
    <w:rsid w:val="0039560E"/>
    <w:rsid w:val="00396A89"/>
    <w:rsid w:val="003A0314"/>
    <w:rsid w:val="003A09B1"/>
    <w:rsid w:val="003A2265"/>
    <w:rsid w:val="003B339E"/>
    <w:rsid w:val="003C0419"/>
    <w:rsid w:val="003C0FB5"/>
    <w:rsid w:val="003C121A"/>
    <w:rsid w:val="003C3363"/>
    <w:rsid w:val="003D30AA"/>
    <w:rsid w:val="003E28E3"/>
    <w:rsid w:val="003E2EBE"/>
    <w:rsid w:val="003E4627"/>
    <w:rsid w:val="003F10E8"/>
    <w:rsid w:val="003F6BE1"/>
    <w:rsid w:val="0040019F"/>
    <w:rsid w:val="0041121B"/>
    <w:rsid w:val="00413F53"/>
    <w:rsid w:val="0041595D"/>
    <w:rsid w:val="0041684D"/>
    <w:rsid w:val="00421FEC"/>
    <w:rsid w:val="00422A8B"/>
    <w:rsid w:val="0042387A"/>
    <w:rsid w:val="00430BFE"/>
    <w:rsid w:val="00444ED5"/>
    <w:rsid w:val="004564AC"/>
    <w:rsid w:val="00463CAD"/>
    <w:rsid w:val="00465C9A"/>
    <w:rsid w:val="00472C18"/>
    <w:rsid w:val="004745AE"/>
    <w:rsid w:val="00475CEC"/>
    <w:rsid w:val="0047702D"/>
    <w:rsid w:val="00482A85"/>
    <w:rsid w:val="00483394"/>
    <w:rsid w:val="004840D6"/>
    <w:rsid w:val="004934C5"/>
    <w:rsid w:val="004935F3"/>
    <w:rsid w:val="00496CF4"/>
    <w:rsid w:val="004A6145"/>
    <w:rsid w:val="004A680D"/>
    <w:rsid w:val="004B5059"/>
    <w:rsid w:val="004B57CD"/>
    <w:rsid w:val="004C2370"/>
    <w:rsid w:val="004C2827"/>
    <w:rsid w:val="004C45D2"/>
    <w:rsid w:val="004D0937"/>
    <w:rsid w:val="004D5D6B"/>
    <w:rsid w:val="004D6488"/>
    <w:rsid w:val="004E17E3"/>
    <w:rsid w:val="004E2ECB"/>
    <w:rsid w:val="004E43BA"/>
    <w:rsid w:val="004E4A57"/>
    <w:rsid w:val="004F293A"/>
    <w:rsid w:val="004F664D"/>
    <w:rsid w:val="005166CC"/>
    <w:rsid w:val="005230EE"/>
    <w:rsid w:val="005271D3"/>
    <w:rsid w:val="00542FFA"/>
    <w:rsid w:val="00543382"/>
    <w:rsid w:val="00547EA0"/>
    <w:rsid w:val="00562678"/>
    <w:rsid w:val="00567A52"/>
    <w:rsid w:val="00567B61"/>
    <w:rsid w:val="00570A15"/>
    <w:rsid w:val="005760EF"/>
    <w:rsid w:val="0057612F"/>
    <w:rsid w:val="005764B5"/>
    <w:rsid w:val="0057793B"/>
    <w:rsid w:val="00581B41"/>
    <w:rsid w:val="005954E0"/>
    <w:rsid w:val="00595DD5"/>
    <w:rsid w:val="005A4583"/>
    <w:rsid w:val="005A79E2"/>
    <w:rsid w:val="005B1318"/>
    <w:rsid w:val="005B5AF5"/>
    <w:rsid w:val="005D0361"/>
    <w:rsid w:val="005D45A5"/>
    <w:rsid w:val="005D6B80"/>
    <w:rsid w:val="005E0A03"/>
    <w:rsid w:val="005E3A0F"/>
    <w:rsid w:val="005F1A3C"/>
    <w:rsid w:val="005F4C8E"/>
    <w:rsid w:val="006010EA"/>
    <w:rsid w:val="00606B1C"/>
    <w:rsid w:val="0060721D"/>
    <w:rsid w:val="006138AE"/>
    <w:rsid w:val="006201EB"/>
    <w:rsid w:val="00620F7D"/>
    <w:rsid w:val="00625BF1"/>
    <w:rsid w:val="006268A1"/>
    <w:rsid w:val="00626A36"/>
    <w:rsid w:val="00631452"/>
    <w:rsid w:val="00631E85"/>
    <w:rsid w:val="00632942"/>
    <w:rsid w:val="00636DE9"/>
    <w:rsid w:val="00637E05"/>
    <w:rsid w:val="00641B1C"/>
    <w:rsid w:val="006527FA"/>
    <w:rsid w:val="00670E3E"/>
    <w:rsid w:val="00673688"/>
    <w:rsid w:val="00675486"/>
    <w:rsid w:val="00681969"/>
    <w:rsid w:val="00692A0C"/>
    <w:rsid w:val="00693335"/>
    <w:rsid w:val="00694D0E"/>
    <w:rsid w:val="006A00EA"/>
    <w:rsid w:val="006A3575"/>
    <w:rsid w:val="006A3EF2"/>
    <w:rsid w:val="006B2769"/>
    <w:rsid w:val="006D6486"/>
    <w:rsid w:val="006D6EDE"/>
    <w:rsid w:val="006D7EF7"/>
    <w:rsid w:val="006E0214"/>
    <w:rsid w:val="006E0C59"/>
    <w:rsid w:val="006E7CC3"/>
    <w:rsid w:val="006F1D6E"/>
    <w:rsid w:val="006F78FD"/>
    <w:rsid w:val="0070057D"/>
    <w:rsid w:val="007037CE"/>
    <w:rsid w:val="0070537D"/>
    <w:rsid w:val="00705EE9"/>
    <w:rsid w:val="007134E8"/>
    <w:rsid w:val="00714FFC"/>
    <w:rsid w:val="00715ACC"/>
    <w:rsid w:val="00723ACC"/>
    <w:rsid w:val="007241D9"/>
    <w:rsid w:val="007279B6"/>
    <w:rsid w:val="0073128F"/>
    <w:rsid w:val="0073560B"/>
    <w:rsid w:val="00744206"/>
    <w:rsid w:val="00746E49"/>
    <w:rsid w:val="007531CB"/>
    <w:rsid w:val="007544C5"/>
    <w:rsid w:val="00756ED1"/>
    <w:rsid w:val="007639EF"/>
    <w:rsid w:val="00785415"/>
    <w:rsid w:val="007A583E"/>
    <w:rsid w:val="007A6293"/>
    <w:rsid w:val="007C3E2B"/>
    <w:rsid w:val="007C676A"/>
    <w:rsid w:val="007D15DE"/>
    <w:rsid w:val="007D2829"/>
    <w:rsid w:val="007D6E1F"/>
    <w:rsid w:val="007E647D"/>
    <w:rsid w:val="007F44D8"/>
    <w:rsid w:val="008120E6"/>
    <w:rsid w:val="00820C8E"/>
    <w:rsid w:val="0082488A"/>
    <w:rsid w:val="00830BB6"/>
    <w:rsid w:val="008419DA"/>
    <w:rsid w:val="00842E88"/>
    <w:rsid w:val="00853B30"/>
    <w:rsid w:val="00854BCF"/>
    <w:rsid w:val="00855EEB"/>
    <w:rsid w:val="00867D31"/>
    <w:rsid w:val="00882AF4"/>
    <w:rsid w:val="00882D6B"/>
    <w:rsid w:val="008902BB"/>
    <w:rsid w:val="00891003"/>
    <w:rsid w:val="008B092A"/>
    <w:rsid w:val="008B1832"/>
    <w:rsid w:val="008C4B98"/>
    <w:rsid w:val="008C6383"/>
    <w:rsid w:val="008D1190"/>
    <w:rsid w:val="008D11D1"/>
    <w:rsid w:val="008D7AB3"/>
    <w:rsid w:val="008E2D99"/>
    <w:rsid w:val="008E5195"/>
    <w:rsid w:val="008E7A03"/>
    <w:rsid w:val="008F1048"/>
    <w:rsid w:val="008F2AEC"/>
    <w:rsid w:val="00902461"/>
    <w:rsid w:val="009154C1"/>
    <w:rsid w:val="009311AE"/>
    <w:rsid w:val="00932750"/>
    <w:rsid w:val="00940F3E"/>
    <w:rsid w:val="00944D2F"/>
    <w:rsid w:val="00952D0C"/>
    <w:rsid w:val="00954011"/>
    <w:rsid w:val="00955CD0"/>
    <w:rsid w:val="00961101"/>
    <w:rsid w:val="0096173B"/>
    <w:rsid w:val="0096415F"/>
    <w:rsid w:val="0096454B"/>
    <w:rsid w:val="00967009"/>
    <w:rsid w:val="00972296"/>
    <w:rsid w:val="0097335B"/>
    <w:rsid w:val="0097579C"/>
    <w:rsid w:val="009849B9"/>
    <w:rsid w:val="009863FF"/>
    <w:rsid w:val="009A060E"/>
    <w:rsid w:val="009A066B"/>
    <w:rsid w:val="009B2487"/>
    <w:rsid w:val="009B5591"/>
    <w:rsid w:val="009C0C6D"/>
    <w:rsid w:val="009C0F37"/>
    <w:rsid w:val="009C3947"/>
    <w:rsid w:val="009D3E7B"/>
    <w:rsid w:val="009D4EE8"/>
    <w:rsid w:val="009E08A2"/>
    <w:rsid w:val="009E39F0"/>
    <w:rsid w:val="009E5ECF"/>
    <w:rsid w:val="009F00B9"/>
    <w:rsid w:val="009F4EF4"/>
    <w:rsid w:val="009F4F0E"/>
    <w:rsid w:val="009F6DDA"/>
    <w:rsid w:val="00A009A1"/>
    <w:rsid w:val="00A03761"/>
    <w:rsid w:val="00A0545A"/>
    <w:rsid w:val="00A10034"/>
    <w:rsid w:val="00A13BDA"/>
    <w:rsid w:val="00A20B2F"/>
    <w:rsid w:val="00A2442F"/>
    <w:rsid w:val="00A26919"/>
    <w:rsid w:val="00A323F4"/>
    <w:rsid w:val="00A33791"/>
    <w:rsid w:val="00A438C6"/>
    <w:rsid w:val="00A4470B"/>
    <w:rsid w:val="00A548D5"/>
    <w:rsid w:val="00A5786D"/>
    <w:rsid w:val="00A60B1E"/>
    <w:rsid w:val="00A62A57"/>
    <w:rsid w:val="00A65DA8"/>
    <w:rsid w:val="00A72CDE"/>
    <w:rsid w:val="00A81E14"/>
    <w:rsid w:val="00A83352"/>
    <w:rsid w:val="00A86C59"/>
    <w:rsid w:val="00AA0147"/>
    <w:rsid w:val="00AA1E04"/>
    <w:rsid w:val="00AA4F48"/>
    <w:rsid w:val="00AA6B05"/>
    <w:rsid w:val="00AB0DBC"/>
    <w:rsid w:val="00AB40FD"/>
    <w:rsid w:val="00AB4720"/>
    <w:rsid w:val="00AB6058"/>
    <w:rsid w:val="00AC04B5"/>
    <w:rsid w:val="00AC1F80"/>
    <w:rsid w:val="00AD2AB7"/>
    <w:rsid w:val="00AD5DF3"/>
    <w:rsid w:val="00AE44D2"/>
    <w:rsid w:val="00AF2271"/>
    <w:rsid w:val="00AF62DB"/>
    <w:rsid w:val="00B04E45"/>
    <w:rsid w:val="00B1161C"/>
    <w:rsid w:val="00B12284"/>
    <w:rsid w:val="00B23145"/>
    <w:rsid w:val="00B34069"/>
    <w:rsid w:val="00B3502D"/>
    <w:rsid w:val="00B35509"/>
    <w:rsid w:val="00B37493"/>
    <w:rsid w:val="00B40C8C"/>
    <w:rsid w:val="00B4279F"/>
    <w:rsid w:val="00B5322E"/>
    <w:rsid w:val="00B553E7"/>
    <w:rsid w:val="00B57B41"/>
    <w:rsid w:val="00B63A56"/>
    <w:rsid w:val="00B67482"/>
    <w:rsid w:val="00B7387B"/>
    <w:rsid w:val="00B919F0"/>
    <w:rsid w:val="00B92490"/>
    <w:rsid w:val="00B94D77"/>
    <w:rsid w:val="00B955FE"/>
    <w:rsid w:val="00B95C6C"/>
    <w:rsid w:val="00BA5504"/>
    <w:rsid w:val="00BA590E"/>
    <w:rsid w:val="00BB32F6"/>
    <w:rsid w:val="00BC10EA"/>
    <w:rsid w:val="00BC1467"/>
    <w:rsid w:val="00BC6E48"/>
    <w:rsid w:val="00BC7632"/>
    <w:rsid w:val="00BE47A7"/>
    <w:rsid w:val="00BF52DE"/>
    <w:rsid w:val="00BF5665"/>
    <w:rsid w:val="00C0071D"/>
    <w:rsid w:val="00C2659A"/>
    <w:rsid w:val="00C374FF"/>
    <w:rsid w:val="00C40E28"/>
    <w:rsid w:val="00C410BA"/>
    <w:rsid w:val="00C51163"/>
    <w:rsid w:val="00C554A4"/>
    <w:rsid w:val="00C67111"/>
    <w:rsid w:val="00C72C04"/>
    <w:rsid w:val="00C76D27"/>
    <w:rsid w:val="00C77CA0"/>
    <w:rsid w:val="00C8319B"/>
    <w:rsid w:val="00C831E4"/>
    <w:rsid w:val="00C840CE"/>
    <w:rsid w:val="00C849D8"/>
    <w:rsid w:val="00C91767"/>
    <w:rsid w:val="00CA2F50"/>
    <w:rsid w:val="00CB3A5C"/>
    <w:rsid w:val="00CB4178"/>
    <w:rsid w:val="00CB7799"/>
    <w:rsid w:val="00CE39DC"/>
    <w:rsid w:val="00CE455D"/>
    <w:rsid w:val="00CE6D42"/>
    <w:rsid w:val="00CF5D85"/>
    <w:rsid w:val="00D0580D"/>
    <w:rsid w:val="00D075E8"/>
    <w:rsid w:val="00D12257"/>
    <w:rsid w:val="00D24A16"/>
    <w:rsid w:val="00D2549A"/>
    <w:rsid w:val="00D33BC0"/>
    <w:rsid w:val="00D4157C"/>
    <w:rsid w:val="00D41744"/>
    <w:rsid w:val="00D67299"/>
    <w:rsid w:val="00D713A6"/>
    <w:rsid w:val="00D86EB5"/>
    <w:rsid w:val="00D92345"/>
    <w:rsid w:val="00D95489"/>
    <w:rsid w:val="00DA66D4"/>
    <w:rsid w:val="00DB1328"/>
    <w:rsid w:val="00DB1C10"/>
    <w:rsid w:val="00DB26B2"/>
    <w:rsid w:val="00DB279D"/>
    <w:rsid w:val="00DB4B88"/>
    <w:rsid w:val="00DB5679"/>
    <w:rsid w:val="00DC23F1"/>
    <w:rsid w:val="00DC7208"/>
    <w:rsid w:val="00DC7D2C"/>
    <w:rsid w:val="00DD294C"/>
    <w:rsid w:val="00DE1619"/>
    <w:rsid w:val="00DE5411"/>
    <w:rsid w:val="00DE719B"/>
    <w:rsid w:val="00DF362F"/>
    <w:rsid w:val="00E06104"/>
    <w:rsid w:val="00E1234F"/>
    <w:rsid w:val="00E125BA"/>
    <w:rsid w:val="00E14B8A"/>
    <w:rsid w:val="00E20F74"/>
    <w:rsid w:val="00E21C2A"/>
    <w:rsid w:val="00E30805"/>
    <w:rsid w:val="00E34578"/>
    <w:rsid w:val="00E354A8"/>
    <w:rsid w:val="00E402E9"/>
    <w:rsid w:val="00E43059"/>
    <w:rsid w:val="00E43A7C"/>
    <w:rsid w:val="00E543B0"/>
    <w:rsid w:val="00E55679"/>
    <w:rsid w:val="00E55F68"/>
    <w:rsid w:val="00E56C76"/>
    <w:rsid w:val="00E62069"/>
    <w:rsid w:val="00E66358"/>
    <w:rsid w:val="00E66C1A"/>
    <w:rsid w:val="00E6738D"/>
    <w:rsid w:val="00E960D0"/>
    <w:rsid w:val="00EB47AA"/>
    <w:rsid w:val="00EC5994"/>
    <w:rsid w:val="00ED40FF"/>
    <w:rsid w:val="00ED7881"/>
    <w:rsid w:val="00ED7D88"/>
    <w:rsid w:val="00EE0052"/>
    <w:rsid w:val="00EE3A9C"/>
    <w:rsid w:val="00EE5121"/>
    <w:rsid w:val="00EE5688"/>
    <w:rsid w:val="00EF1A93"/>
    <w:rsid w:val="00EF5B62"/>
    <w:rsid w:val="00EF68EB"/>
    <w:rsid w:val="00F03157"/>
    <w:rsid w:val="00F034E8"/>
    <w:rsid w:val="00F03FF2"/>
    <w:rsid w:val="00F0430A"/>
    <w:rsid w:val="00F10201"/>
    <w:rsid w:val="00F11141"/>
    <w:rsid w:val="00F21213"/>
    <w:rsid w:val="00F27E2E"/>
    <w:rsid w:val="00F32250"/>
    <w:rsid w:val="00F33278"/>
    <w:rsid w:val="00F3632B"/>
    <w:rsid w:val="00F41A17"/>
    <w:rsid w:val="00F4490C"/>
    <w:rsid w:val="00F47538"/>
    <w:rsid w:val="00F55578"/>
    <w:rsid w:val="00F71460"/>
    <w:rsid w:val="00F7364F"/>
    <w:rsid w:val="00F75976"/>
    <w:rsid w:val="00F81977"/>
    <w:rsid w:val="00F848CD"/>
    <w:rsid w:val="00F87124"/>
    <w:rsid w:val="00F90C98"/>
    <w:rsid w:val="00F920D3"/>
    <w:rsid w:val="00FA28DB"/>
    <w:rsid w:val="00FA3BEF"/>
    <w:rsid w:val="00FA4223"/>
    <w:rsid w:val="00FA54FD"/>
    <w:rsid w:val="00FB07AB"/>
    <w:rsid w:val="00FB14A6"/>
    <w:rsid w:val="00FB2AFB"/>
    <w:rsid w:val="00FB2EDD"/>
    <w:rsid w:val="00FB3DA8"/>
    <w:rsid w:val="00FB4F93"/>
    <w:rsid w:val="00FC252B"/>
    <w:rsid w:val="00FC4D5D"/>
    <w:rsid w:val="00FC56D0"/>
    <w:rsid w:val="00FC6B84"/>
    <w:rsid w:val="00FC7DAF"/>
    <w:rsid w:val="00FD21D9"/>
    <w:rsid w:val="00FD3B54"/>
    <w:rsid w:val="00FE0CC4"/>
    <w:rsid w:val="00FE2EEE"/>
    <w:rsid w:val="00FE3158"/>
    <w:rsid w:val="00FF49BF"/>
    <w:rsid w:val="00FF5D2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455E9D0"/>
  <w15:docId w15:val="{30F1AC0A-69C5-4A4E-80DA-C58A1E08D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Miriam"/>
        <w:sz w:val="22"/>
        <w:szCs w:val="22"/>
        <w:lang w:val="en-US" w:eastAsia="en-US" w:bidi="he-IL"/>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lock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A28DB"/>
    <w:pPr>
      <w:bidi/>
    </w:pPr>
    <w:rPr>
      <w:sz w:val="20"/>
      <w:szCs w:val="20"/>
    </w:rPr>
  </w:style>
  <w:style w:type="paragraph" w:styleId="1">
    <w:name w:val="heading 1"/>
    <w:basedOn w:val="a"/>
    <w:next w:val="a"/>
    <w:link w:val="10"/>
    <w:uiPriority w:val="99"/>
    <w:qFormat/>
    <w:rsid w:val="00FA28DB"/>
    <w:pPr>
      <w:keepNext/>
      <w:jc w:val="right"/>
      <w:outlineLvl w:val="0"/>
    </w:pPr>
    <w:rPr>
      <w:rFonts w:cs="Arial"/>
      <w:szCs w:val="24"/>
    </w:rPr>
  </w:style>
  <w:style w:type="paragraph" w:styleId="3">
    <w:name w:val="heading 3"/>
    <w:basedOn w:val="a"/>
    <w:next w:val="a"/>
    <w:link w:val="30"/>
    <w:uiPriority w:val="99"/>
    <w:qFormat/>
    <w:rsid w:val="00FA28DB"/>
    <w:pPr>
      <w:keepNext/>
      <w:spacing w:line="360" w:lineRule="auto"/>
      <w:outlineLvl w:val="2"/>
    </w:pPr>
    <w:rPr>
      <w:rFonts w:cs="Arial"/>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6E41AE"/>
    <w:rPr>
      <w:rFonts w:asciiTheme="majorHAnsi" w:eastAsiaTheme="majorEastAsia" w:hAnsiTheme="majorHAnsi" w:cstheme="majorBidi"/>
      <w:b/>
      <w:bCs/>
      <w:kern w:val="32"/>
      <w:sz w:val="32"/>
      <w:szCs w:val="32"/>
    </w:rPr>
  </w:style>
  <w:style w:type="character" w:customStyle="1" w:styleId="30">
    <w:name w:val="כותרת 3 תו"/>
    <w:basedOn w:val="a0"/>
    <w:link w:val="3"/>
    <w:uiPriority w:val="9"/>
    <w:semiHidden/>
    <w:rsid w:val="006E41AE"/>
    <w:rPr>
      <w:rFonts w:asciiTheme="majorHAnsi" w:eastAsiaTheme="majorEastAsia" w:hAnsiTheme="majorHAnsi" w:cstheme="majorBidi"/>
      <w:b/>
      <w:bCs/>
      <w:sz w:val="26"/>
      <w:szCs w:val="26"/>
    </w:rPr>
  </w:style>
  <w:style w:type="paragraph" w:styleId="a3">
    <w:name w:val="header"/>
    <w:basedOn w:val="a"/>
    <w:link w:val="a4"/>
    <w:uiPriority w:val="99"/>
    <w:rsid w:val="00FA28DB"/>
    <w:pPr>
      <w:tabs>
        <w:tab w:val="center" w:pos="4153"/>
        <w:tab w:val="right" w:pos="8306"/>
      </w:tabs>
    </w:pPr>
  </w:style>
  <w:style w:type="character" w:customStyle="1" w:styleId="a4">
    <w:name w:val="כותרת עליונה תו"/>
    <w:basedOn w:val="a0"/>
    <w:link w:val="a3"/>
    <w:uiPriority w:val="99"/>
    <w:semiHidden/>
    <w:rsid w:val="006E41AE"/>
    <w:rPr>
      <w:sz w:val="20"/>
      <w:szCs w:val="20"/>
    </w:rPr>
  </w:style>
  <w:style w:type="paragraph" w:styleId="a5">
    <w:name w:val="footer"/>
    <w:basedOn w:val="a"/>
    <w:link w:val="a6"/>
    <w:uiPriority w:val="99"/>
    <w:rsid w:val="00FA28DB"/>
    <w:pPr>
      <w:tabs>
        <w:tab w:val="center" w:pos="4153"/>
        <w:tab w:val="right" w:pos="8306"/>
      </w:tabs>
    </w:pPr>
  </w:style>
  <w:style w:type="character" w:customStyle="1" w:styleId="a6">
    <w:name w:val="כותרת תחתונה תו"/>
    <w:basedOn w:val="a0"/>
    <w:link w:val="a5"/>
    <w:uiPriority w:val="99"/>
    <w:semiHidden/>
    <w:rsid w:val="006E41AE"/>
    <w:rPr>
      <w:sz w:val="20"/>
      <w:szCs w:val="20"/>
    </w:rPr>
  </w:style>
  <w:style w:type="character" w:styleId="a7">
    <w:name w:val="page number"/>
    <w:basedOn w:val="a0"/>
    <w:uiPriority w:val="99"/>
    <w:rsid w:val="00FA28DB"/>
    <w:rPr>
      <w:rFonts w:cs="Times New Roman"/>
    </w:rPr>
  </w:style>
  <w:style w:type="character" w:styleId="Hyperlink">
    <w:name w:val="Hyperlink"/>
    <w:basedOn w:val="a0"/>
    <w:uiPriority w:val="99"/>
    <w:rsid w:val="00FA28DB"/>
    <w:rPr>
      <w:rFonts w:cs="Times New Roman"/>
      <w:color w:val="0000FF"/>
      <w:u w:val="single"/>
    </w:rPr>
  </w:style>
  <w:style w:type="character" w:styleId="FollowedHyperlink">
    <w:name w:val="FollowedHyperlink"/>
    <w:basedOn w:val="a0"/>
    <w:uiPriority w:val="99"/>
    <w:rsid w:val="00FA28DB"/>
    <w:rPr>
      <w:rFonts w:cs="Times New Roman"/>
      <w:color w:val="800080"/>
      <w:u w:val="single"/>
    </w:rPr>
  </w:style>
  <w:style w:type="paragraph" w:customStyle="1" w:styleId="NormalWeb1">
    <w:name w:val="Normal (Web)‎1"/>
    <w:basedOn w:val="a"/>
    <w:uiPriority w:val="99"/>
    <w:rsid w:val="00FC7DAF"/>
    <w:pPr>
      <w:bidi w:val="0"/>
      <w:spacing w:before="100" w:beforeAutospacing="1" w:after="100" w:afterAutospacing="1"/>
    </w:pPr>
    <w:rPr>
      <w:rFonts w:cs="Times New Roman"/>
      <w:sz w:val="24"/>
      <w:szCs w:val="24"/>
    </w:rPr>
  </w:style>
  <w:style w:type="character" w:styleId="a8">
    <w:name w:val="Strong"/>
    <w:basedOn w:val="a0"/>
    <w:uiPriority w:val="99"/>
    <w:qFormat/>
    <w:rsid w:val="003A2265"/>
    <w:rPr>
      <w:rFonts w:cs="Times New Roman"/>
      <w:b/>
    </w:rPr>
  </w:style>
  <w:style w:type="character" w:styleId="a9">
    <w:name w:val="Emphasis"/>
    <w:basedOn w:val="a0"/>
    <w:uiPriority w:val="99"/>
    <w:qFormat/>
    <w:rsid w:val="00C77CA0"/>
    <w:rPr>
      <w:rFonts w:cs="Times New Roman"/>
      <w:b/>
    </w:rPr>
  </w:style>
  <w:style w:type="character" w:customStyle="1" w:styleId="aa">
    <w:name w:val="התחלה"/>
    <w:uiPriority w:val="99"/>
    <w:rsid w:val="00C77CA0"/>
    <w:rPr>
      <w:sz w:val="24"/>
    </w:rPr>
  </w:style>
  <w:style w:type="paragraph" w:styleId="ab">
    <w:name w:val="footnote text"/>
    <w:basedOn w:val="a"/>
    <w:link w:val="ac"/>
    <w:uiPriority w:val="99"/>
    <w:semiHidden/>
    <w:rsid w:val="00C77CA0"/>
    <w:pPr>
      <w:jc w:val="both"/>
    </w:pPr>
    <w:rPr>
      <w:rFonts w:cs="Times New Roman"/>
      <w:lang w:eastAsia="he-IL"/>
    </w:rPr>
  </w:style>
  <w:style w:type="character" w:customStyle="1" w:styleId="ac">
    <w:name w:val="טקסט הערת שוליים תו"/>
    <w:basedOn w:val="a0"/>
    <w:link w:val="ab"/>
    <w:uiPriority w:val="99"/>
    <w:semiHidden/>
    <w:locked/>
    <w:rsid w:val="00BC6E48"/>
    <w:rPr>
      <w:lang w:eastAsia="he-IL" w:bidi="he-IL"/>
    </w:rPr>
  </w:style>
  <w:style w:type="character" w:styleId="ad">
    <w:name w:val="footnote reference"/>
    <w:basedOn w:val="a0"/>
    <w:uiPriority w:val="99"/>
    <w:semiHidden/>
    <w:rsid w:val="0032260D"/>
    <w:rPr>
      <w:rFonts w:cs="David"/>
      <w:szCs w:val="22"/>
      <w:vertAlign w:val="superscript"/>
    </w:rPr>
  </w:style>
  <w:style w:type="paragraph" w:customStyle="1" w:styleId="HeadHatzaotHok">
    <w:name w:val="Head HatzaotHok"/>
    <w:basedOn w:val="a"/>
    <w:rsid w:val="001B7AA5"/>
    <w:pPr>
      <w:keepNext/>
      <w:keepLines/>
      <w:widowControl w:val="0"/>
      <w:autoSpaceDE w:val="0"/>
      <w:autoSpaceDN w:val="0"/>
      <w:adjustRightInd w:val="0"/>
      <w:snapToGrid w:val="0"/>
      <w:spacing w:before="240" w:line="360" w:lineRule="auto"/>
      <w:jc w:val="center"/>
      <w:textAlignment w:val="center"/>
    </w:pPr>
    <w:rPr>
      <w:rFonts w:ascii="Arial" w:hAnsi="Arial" w:cs="David"/>
      <w:b/>
      <w:bCs/>
      <w:color w:val="000000"/>
      <w:szCs w:val="26"/>
      <w:lang w:eastAsia="ja-JP"/>
    </w:rPr>
  </w:style>
  <w:style w:type="paragraph" w:customStyle="1" w:styleId="TableText">
    <w:name w:val="Table Text"/>
    <w:basedOn w:val="a"/>
    <w:uiPriority w:val="99"/>
    <w:rsid w:val="001B7AA5"/>
    <w:pPr>
      <w:keepLines/>
      <w:widowControl w:val="0"/>
      <w:tabs>
        <w:tab w:val="left" w:pos="624"/>
        <w:tab w:val="left" w:pos="1247"/>
      </w:tabs>
      <w:autoSpaceDE w:val="0"/>
      <w:autoSpaceDN w:val="0"/>
      <w:adjustRightInd w:val="0"/>
      <w:snapToGrid w:val="0"/>
      <w:spacing w:line="360" w:lineRule="auto"/>
      <w:ind w:right="57"/>
      <w:textAlignment w:val="center"/>
    </w:pPr>
    <w:rPr>
      <w:rFonts w:ascii="Arial" w:hAnsi="Arial" w:cs="David"/>
      <w:color w:val="000000"/>
      <w:szCs w:val="26"/>
      <w:lang w:eastAsia="ja-JP"/>
    </w:rPr>
  </w:style>
  <w:style w:type="paragraph" w:customStyle="1" w:styleId="TableSideHeading">
    <w:name w:val="Table SideHeading"/>
    <w:basedOn w:val="TableText"/>
    <w:uiPriority w:val="99"/>
    <w:rsid w:val="001B7AA5"/>
  </w:style>
  <w:style w:type="paragraph" w:customStyle="1" w:styleId="TableBlock">
    <w:name w:val="Table Block"/>
    <w:basedOn w:val="TableText"/>
    <w:uiPriority w:val="99"/>
    <w:rsid w:val="001B7AA5"/>
    <w:pPr>
      <w:ind w:right="0"/>
      <w:jc w:val="both"/>
    </w:pPr>
  </w:style>
  <w:style w:type="paragraph" w:customStyle="1" w:styleId="TableHead">
    <w:name w:val="Table Head"/>
    <w:basedOn w:val="TableText"/>
    <w:uiPriority w:val="99"/>
    <w:rsid w:val="001B7AA5"/>
    <w:pPr>
      <w:ind w:right="0"/>
      <w:jc w:val="center"/>
    </w:pPr>
    <w:rPr>
      <w:b/>
      <w:bCs/>
    </w:rPr>
  </w:style>
  <w:style w:type="paragraph" w:customStyle="1" w:styleId="Hesber">
    <w:name w:val="Hesber"/>
    <w:basedOn w:val="a"/>
    <w:uiPriority w:val="99"/>
    <w:rsid w:val="001B7AA5"/>
    <w:pPr>
      <w:widowControl w:val="0"/>
      <w:autoSpaceDE w:val="0"/>
      <w:autoSpaceDN w:val="0"/>
      <w:adjustRightInd w:val="0"/>
      <w:snapToGrid w:val="0"/>
      <w:spacing w:line="360" w:lineRule="auto"/>
      <w:ind w:firstLine="340"/>
      <w:jc w:val="both"/>
      <w:textAlignment w:val="center"/>
    </w:pPr>
    <w:rPr>
      <w:rFonts w:ascii="Arial" w:hAnsi="Arial" w:cs="David"/>
      <w:color w:val="000000"/>
      <w:szCs w:val="26"/>
      <w:lang w:eastAsia="ja-JP"/>
    </w:rPr>
  </w:style>
  <w:style w:type="paragraph" w:customStyle="1" w:styleId="HeadDivreiHesber">
    <w:name w:val="Head DivreiHesber"/>
    <w:basedOn w:val="a"/>
    <w:uiPriority w:val="99"/>
    <w:rsid w:val="001B7AA5"/>
    <w:pPr>
      <w:widowControl w:val="0"/>
      <w:autoSpaceDE w:val="0"/>
      <w:autoSpaceDN w:val="0"/>
      <w:adjustRightInd w:val="0"/>
      <w:snapToGrid w:val="0"/>
      <w:spacing w:before="360" w:after="120" w:line="360" w:lineRule="auto"/>
      <w:jc w:val="center"/>
      <w:textAlignment w:val="center"/>
    </w:pPr>
    <w:rPr>
      <w:rFonts w:ascii="Arial" w:hAnsi="Arial" w:cs="David"/>
      <w:b/>
      <w:color w:val="000000"/>
      <w:spacing w:val="40"/>
      <w:szCs w:val="26"/>
      <w:lang w:eastAsia="ja-JP"/>
    </w:rPr>
  </w:style>
  <w:style w:type="paragraph" w:customStyle="1" w:styleId="David">
    <w:name w:val="רגיל + (עברית ושפות אחרות) David"/>
    <w:aliases w:val="‏13 נק',מודגש,אחרי:  6 נק'"/>
    <w:basedOn w:val="a"/>
    <w:uiPriority w:val="99"/>
    <w:rsid w:val="001B7AA5"/>
    <w:pPr>
      <w:widowControl w:val="0"/>
      <w:autoSpaceDE w:val="0"/>
      <w:autoSpaceDN w:val="0"/>
      <w:adjustRightInd w:val="0"/>
      <w:spacing w:before="102" w:line="204" w:lineRule="atLeast"/>
      <w:textAlignment w:val="center"/>
    </w:pPr>
    <w:rPr>
      <w:rFonts w:ascii="Hadasa Roso SL" w:eastAsia="MS Mincho" w:hAnsi="Hadasa Roso SL" w:cs="David"/>
      <w:color w:val="000000"/>
      <w:spacing w:val="1"/>
      <w:sz w:val="26"/>
      <w:szCs w:val="26"/>
      <w:lang w:eastAsia="ja-JP"/>
    </w:rPr>
  </w:style>
  <w:style w:type="paragraph" w:styleId="ae">
    <w:name w:val="endnote text"/>
    <w:basedOn w:val="a"/>
    <w:link w:val="af"/>
    <w:autoRedefine/>
    <w:uiPriority w:val="99"/>
    <w:rsid w:val="00444ED5"/>
    <w:rPr>
      <w:rFonts w:cs="David"/>
    </w:rPr>
  </w:style>
  <w:style w:type="character" w:customStyle="1" w:styleId="af">
    <w:name w:val="טקסט הערת סיום תו"/>
    <w:basedOn w:val="a0"/>
    <w:link w:val="ae"/>
    <w:uiPriority w:val="99"/>
    <w:locked/>
    <w:rsid w:val="00444ED5"/>
    <w:rPr>
      <w:rFonts w:cs="David"/>
      <w:sz w:val="20"/>
      <w:szCs w:val="20"/>
    </w:rPr>
  </w:style>
  <w:style w:type="character" w:styleId="af0">
    <w:name w:val="endnote reference"/>
    <w:basedOn w:val="a0"/>
    <w:uiPriority w:val="99"/>
    <w:rsid w:val="00175902"/>
    <w:rPr>
      <w:rFonts w:cs="Times New Roman"/>
      <w:vertAlign w:val="superscript"/>
    </w:rPr>
  </w:style>
  <w:style w:type="paragraph" w:styleId="af1">
    <w:name w:val="Balloon Text"/>
    <w:basedOn w:val="a"/>
    <w:link w:val="af2"/>
    <w:uiPriority w:val="99"/>
    <w:semiHidden/>
    <w:rsid w:val="001B3667"/>
    <w:rPr>
      <w:rFonts w:ascii="Tahoma" w:hAnsi="Tahoma" w:cs="Tahoma"/>
      <w:sz w:val="16"/>
      <w:szCs w:val="16"/>
    </w:rPr>
  </w:style>
  <w:style w:type="character" w:customStyle="1" w:styleId="af2">
    <w:name w:val="טקסט בלונים תו"/>
    <w:basedOn w:val="a0"/>
    <w:link w:val="af1"/>
    <w:uiPriority w:val="99"/>
    <w:semiHidden/>
    <w:rsid w:val="006E41AE"/>
    <w:rPr>
      <w:rFonts w:cs="Times New Roman"/>
      <w:sz w:val="0"/>
      <w:szCs w:val="0"/>
    </w:rPr>
  </w:style>
  <w:style w:type="character" w:styleId="af3">
    <w:name w:val="annotation reference"/>
    <w:basedOn w:val="a0"/>
    <w:uiPriority w:val="99"/>
    <w:rsid w:val="001D600E"/>
    <w:rPr>
      <w:rFonts w:cs="Times New Roman"/>
      <w:sz w:val="16"/>
    </w:rPr>
  </w:style>
  <w:style w:type="paragraph" w:styleId="af4">
    <w:name w:val="annotation text"/>
    <w:basedOn w:val="a"/>
    <w:link w:val="af5"/>
    <w:uiPriority w:val="99"/>
    <w:rsid w:val="001D600E"/>
    <w:pPr>
      <w:widowControl w:val="0"/>
      <w:autoSpaceDE w:val="0"/>
      <w:autoSpaceDN w:val="0"/>
      <w:adjustRightInd w:val="0"/>
      <w:spacing w:before="102" w:line="204" w:lineRule="atLeast"/>
      <w:ind w:firstLine="340"/>
      <w:jc w:val="both"/>
      <w:textAlignment w:val="center"/>
    </w:pPr>
    <w:rPr>
      <w:rFonts w:ascii="Hadasa Roso SL" w:eastAsia="MS Mincho" w:hAnsi="Hadasa Roso SL" w:cs="Times New Roman"/>
      <w:color w:val="000000"/>
      <w:spacing w:val="1"/>
      <w:lang w:eastAsia="ja-JP"/>
    </w:rPr>
  </w:style>
  <w:style w:type="character" w:customStyle="1" w:styleId="af5">
    <w:name w:val="טקסט הערה תו"/>
    <w:basedOn w:val="a0"/>
    <w:link w:val="af4"/>
    <w:uiPriority w:val="99"/>
    <w:locked/>
    <w:rsid w:val="001D600E"/>
    <w:rPr>
      <w:rFonts w:ascii="Hadasa Roso SL" w:eastAsia="MS Mincho" w:hAnsi="Hadasa Roso SL"/>
      <w:color w:val="000000"/>
      <w:spacing w:val="1"/>
      <w:lang w:eastAsia="ja-JP"/>
    </w:rPr>
  </w:style>
  <w:style w:type="character" w:customStyle="1" w:styleId="apple-style-span">
    <w:name w:val="apple-style-span"/>
    <w:basedOn w:val="a0"/>
    <w:uiPriority w:val="99"/>
    <w:rsid w:val="00114F54"/>
    <w:rPr>
      <w:rFonts w:cs="Times New Roman"/>
    </w:rPr>
  </w:style>
  <w:style w:type="character" w:customStyle="1" w:styleId="apple-converted-space">
    <w:name w:val="apple-converted-space"/>
    <w:basedOn w:val="a0"/>
    <w:uiPriority w:val="99"/>
    <w:rsid w:val="00463CAD"/>
    <w:rPr>
      <w:rFonts w:cs="Times New Roman"/>
    </w:rPr>
  </w:style>
  <w:style w:type="paragraph" w:styleId="af6">
    <w:name w:val="List Paragraph"/>
    <w:basedOn w:val="a"/>
    <w:uiPriority w:val="99"/>
    <w:qFormat/>
    <w:rsid w:val="002E5D8D"/>
    <w:pPr>
      <w:ind w:left="720"/>
    </w:pPr>
  </w:style>
  <w:style w:type="paragraph" w:customStyle="1" w:styleId="TableText2">
    <w:name w:val="Table Text2"/>
    <w:basedOn w:val="TableText"/>
    <w:uiPriority w:val="99"/>
    <w:rsid w:val="00673688"/>
  </w:style>
  <w:style w:type="paragraph" w:styleId="af7">
    <w:name w:val="Revision"/>
    <w:hidden/>
    <w:uiPriority w:val="99"/>
    <w:semiHidden/>
    <w:rsid w:val="00EC599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626102">
      <w:bodyDiv w:val="1"/>
      <w:marLeft w:val="0"/>
      <w:marRight w:val="0"/>
      <w:marTop w:val="0"/>
      <w:marBottom w:val="0"/>
      <w:divBdr>
        <w:top w:val="none" w:sz="0" w:space="0" w:color="auto"/>
        <w:left w:val="none" w:sz="0" w:space="0" w:color="auto"/>
        <w:bottom w:val="none" w:sz="0" w:space="0" w:color="auto"/>
        <w:right w:val="none" w:sz="0" w:space="0" w:color="auto"/>
      </w:divBdr>
    </w:div>
    <w:div w:id="251864464">
      <w:bodyDiv w:val="1"/>
      <w:marLeft w:val="0"/>
      <w:marRight w:val="0"/>
      <w:marTop w:val="0"/>
      <w:marBottom w:val="0"/>
      <w:divBdr>
        <w:top w:val="none" w:sz="0" w:space="0" w:color="auto"/>
        <w:left w:val="none" w:sz="0" w:space="0" w:color="auto"/>
        <w:bottom w:val="none" w:sz="0" w:space="0" w:color="auto"/>
        <w:right w:val="none" w:sz="0" w:space="0" w:color="auto"/>
      </w:divBdr>
    </w:div>
    <w:div w:id="312106073">
      <w:bodyDiv w:val="1"/>
      <w:marLeft w:val="0"/>
      <w:marRight w:val="0"/>
      <w:marTop w:val="0"/>
      <w:marBottom w:val="0"/>
      <w:divBdr>
        <w:top w:val="none" w:sz="0" w:space="0" w:color="auto"/>
        <w:left w:val="none" w:sz="0" w:space="0" w:color="auto"/>
        <w:bottom w:val="none" w:sz="0" w:space="0" w:color="auto"/>
        <w:right w:val="none" w:sz="0" w:space="0" w:color="auto"/>
      </w:divBdr>
    </w:div>
    <w:div w:id="652951487">
      <w:bodyDiv w:val="1"/>
      <w:marLeft w:val="0"/>
      <w:marRight w:val="0"/>
      <w:marTop w:val="0"/>
      <w:marBottom w:val="0"/>
      <w:divBdr>
        <w:top w:val="none" w:sz="0" w:space="0" w:color="auto"/>
        <w:left w:val="none" w:sz="0" w:space="0" w:color="auto"/>
        <w:bottom w:val="none" w:sz="0" w:space="0" w:color="auto"/>
        <w:right w:val="none" w:sz="0" w:space="0" w:color="auto"/>
      </w:divBdr>
    </w:div>
    <w:div w:id="755517942">
      <w:bodyDiv w:val="1"/>
      <w:marLeft w:val="0"/>
      <w:marRight w:val="0"/>
      <w:marTop w:val="0"/>
      <w:marBottom w:val="0"/>
      <w:divBdr>
        <w:top w:val="none" w:sz="0" w:space="0" w:color="auto"/>
        <w:left w:val="none" w:sz="0" w:space="0" w:color="auto"/>
        <w:bottom w:val="none" w:sz="0" w:space="0" w:color="auto"/>
        <w:right w:val="none" w:sz="0" w:space="0" w:color="auto"/>
      </w:divBdr>
    </w:div>
    <w:div w:id="1867283395">
      <w:marLeft w:val="0"/>
      <w:marRight w:val="0"/>
      <w:marTop w:val="0"/>
      <w:marBottom w:val="0"/>
      <w:divBdr>
        <w:top w:val="none" w:sz="0" w:space="0" w:color="auto"/>
        <w:left w:val="none" w:sz="0" w:space="0" w:color="auto"/>
        <w:bottom w:val="none" w:sz="0" w:space="0" w:color="auto"/>
        <w:right w:val="none" w:sz="0" w:space="0" w:color="auto"/>
      </w:divBdr>
      <w:divsChild>
        <w:div w:id="1867283400">
          <w:marLeft w:val="0"/>
          <w:marRight w:val="0"/>
          <w:marTop w:val="0"/>
          <w:marBottom w:val="0"/>
          <w:divBdr>
            <w:top w:val="none" w:sz="0" w:space="0" w:color="auto"/>
            <w:left w:val="none" w:sz="0" w:space="0" w:color="auto"/>
            <w:bottom w:val="none" w:sz="0" w:space="0" w:color="auto"/>
            <w:right w:val="none" w:sz="0" w:space="0" w:color="auto"/>
          </w:divBdr>
        </w:div>
      </w:divsChild>
    </w:div>
    <w:div w:id="1867283398">
      <w:marLeft w:val="0"/>
      <w:marRight w:val="0"/>
      <w:marTop w:val="0"/>
      <w:marBottom w:val="0"/>
      <w:divBdr>
        <w:top w:val="none" w:sz="0" w:space="0" w:color="auto"/>
        <w:left w:val="none" w:sz="0" w:space="0" w:color="auto"/>
        <w:bottom w:val="none" w:sz="0" w:space="0" w:color="auto"/>
        <w:right w:val="none" w:sz="0" w:space="0" w:color="auto"/>
      </w:divBdr>
    </w:div>
    <w:div w:id="1867283399">
      <w:marLeft w:val="0"/>
      <w:marRight w:val="0"/>
      <w:marTop w:val="0"/>
      <w:marBottom w:val="0"/>
      <w:divBdr>
        <w:top w:val="none" w:sz="0" w:space="0" w:color="auto"/>
        <w:left w:val="none" w:sz="0" w:space="0" w:color="auto"/>
        <w:bottom w:val="none" w:sz="0" w:space="0" w:color="auto"/>
        <w:right w:val="none" w:sz="0" w:space="0" w:color="auto"/>
      </w:divBdr>
    </w:div>
    <w:div w:id="1867283402">
      <w:marLeft w:val="0"/>
      <w:marRight w:val="0"/>
      <w:marTop w:val="0"/>
      <w:marBottom w:val="0"/>
      <w:divBdr>
        <w:top w:val="none" w:sz="0" w:space="0" w:color="auto"/>
        <w:left w:val="none" w:sz="0" w:space="0" w:color="auto"/>
        <w:bottom w:val="none" w:sz="0" w:space="0" w:color="auto"/>
        <w:right w:val="none" w:sz="0" w:space="0" w:color="auto"/>
      </w:divBdr>
      <w:divsChild>
        <w:div w:id="1867283396">
          <w:marLeft w:val="0"/>
          <w:marRight w:val="0"/>
          <w:marTop w:val="0"/>
          <w:marBottom w:val="0"/>
          <w:divBdr>
            <w:top w:val="none" w:sz="0" w:space="0" w:color="auto"/>
            <w:left w:val="none" w:sz="0" w:space="0" w:color="auto"/>
            <w:bottom w:val="none" w:sz="0" w:space="0" w:color="auto"/>
            <w:right w:val="none" w:sz="0" w:space="0" w:color="auto"/>
          </w:divBdr>
        </w:div>
        <w:div w:id="1867283397">
          <w:marLeft w:val="0"/>
          <w:marRight w:val="0"/>
          <w:marTop w:val="0"/>
          <w:marBottom w:val="0"/>
          <w:divBdr>
            <w:top w:val="none" w:sz="0" w:space="0" w:color="auto"/>
            <w:left w:val="none" w:sz="0" w:space="0" w:color="auto"/>
            <w:bottom w:val="none" w:sz="0" w:space="0" w:color="auto"/>
            <w:right w:val="none" w:sz="0" w:space="0" w:color="auto"/>
          </w:divBdr>
        </w:div>
      </w:divsChild>
    </w:div>
    <w:div w:id="1867283403">
      <w:marLeft w:val="0"/>
      <w:marRight w:val="0"/>
      <w:marTop w:val="0"/>
      <w:marBottom w:val="0"/>
      <w:divBdr>
        <w:top w:val="none" w:sz="0" w:space="0" w:color="auto"/>
        <w:left w:val="none" w:sz="0" w:space="0" w:color="auto"/>
        <w:bottom w:val="none" w:sz="0" w:space="0" w:color="auto"/>
        <w:right w:val="none" w:sz="0" w:space="0" w:color="auto"/>
      </w:divBdr>
      <w:divsChild>
        <w:div w:id="1867283401">
          <w:marLeft w:val="0"/>
          <w:marRight w:val="0"/>
          <w:marTop w:val="0"/>
          <w:marBottom w:val="0"/>
          <w:divBdr>
            <w:top w:val="none" w:sz="0" w:space="0" w:color="auto"/>
            <w:left w:val="none" w:sz="0" w:space="0" w:color="auto"/>
            <w:bottom w:val="none" w:sz="0" w:space="0" w:color="auto"/>
            <w:right w:val="none" w:sz="0" w:space="0" w:color="auto"/>
          </w:divBdr>
        </w:div>
        <w:div w:id="1867283406">
          <w:marLeft w:val="0"/>
          <w:marRight w:val="0"/>
          <w:marTop w:val="0"/>
          <w:marBottom w:val="0"/>
          <w:divBdr>
            <w:top w:val="none" w:sz="0" w:space="0" w:color="auto"/>
            <w:left w:val="none" w:sz="0" w:space="0" w:color="auto"/>
            <w:bottom w:val="none" w:sz="0" w:space="0" w:color="auto"/>
            <w:right w:val="none" w:sz="0" w:space="0" w:color="auto"/>
          </w:divBdr>
        </w:div>
      </w:divsChild>
    </w:div>
    <w:div w:id="1867283404">
      <w:marLeft w:val="0"/>
      <w:marRight w:val="0"/>
      <w:marTop w:val="0"/>
      <w:marBottom w:val="0"/>
      <w:divBdr>
        <w:top w:val="none" w:sz="0" w:space="0" w:color="auto"/>
        <w:left w:val="none" w:sz="0" w:space="0" w:color="auto"/>
        <w:bottom w:val="none" w:sz="0" w:space="0" w:color="auto"/>
        <w:right w:val="none" w:sz="0" w:space="0" w:color="auto"/>
      </w:divBdr>
      <w:divsChild>
        <w:div w:id="1867283405">
          <w:marLeft w:val="0"/>
          <w:marRight w:val="0"/>
          <w:marTop w:val="0"/>
          <w:marBottom w:val="0"/>
          <w:divBdr>
            <w:top w:val="none" w:sz="0" w:space="0" w:color="auto"/>
            <w:left w:val="none" w:sz="0" w:space="0" w:color="auto"/>
            <w:bottom w:val="none" w:sz="0" w:space="0" w:color="auto"/>
            <w:right w:val="none" w:sz="0" w:space="0" w:color="auto"/>
          </w:divBdr>
        </w:div>
        <w:div w:id="1867283408">
          <w:marLeft w:val="0"/>
          <w:marRight w:val="0"/>
          <w:marTop w:val="0"/>
          <w:marBottom w:val="0"/>
          <w:divBdr>
            <w:top w:val="none" w:sz="0" w:space="0" w:color="auto"/>
            <w:left w:val="none" w:sz="0" w:space="0" w:color="auto"/>
            <w:bottom w:val="none" w:sz="0" w:space="0" w:color="auto"/>
            <w:right w:val="none" w:sz="0" w:space="0" w:color="auto"/>
          </w:divBdr>
        </w:div>
      </w:divsChild>
    </w:div>
    <w:div w:id="1867283407">
      <w:marLeft w:val="0"/>
      <w:marRight w:val="0"/>
      <w:marTop w:val="0"/>
      <w:marBottom w:val="0"/>
      <w:divBdr>
        <w:top w:val="none" w:sz="0" w:space="0" w:color="auto"/>
        <w:left w:val="none" w:sz="0" w:space="0" w:color="auto"/>
        <w:bottom w:val="none" w:sz="0" w:space="0" w:color="auto"/>
        <w:right w:val="none" w:sz="0" w:space="0" w:color="auto"/>
      </w:divBdr>
    </w:div>
    <w:div w:id="1943762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tzohar.org.il"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9E34C1-8897-44CF-8C81-4B023B5F1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2</Pages>
  <Words>580</Words>
  <Characters>2903</Characters>
  <Application>Microsoft Office Word</Application>
  <DocSecurity>0</DocSecurity>
  <Lines>24</Lines>
  <Paragraphs>6</Paragraphs>
  <ScaleCrop>false</ScaleCrop>
  <HeadingPairs>
    <vt:vector size="2" baseType="variant">
      <vt:variant>
        <vt:lpstr>שם</vt:lpstr>
      </vt:variant>
      <vt:variant>
        <vt:i4>1</vt:i4>
      </vt:variant>
    </vt:vector>
  </HeadingPairs>
  <TitlesOfParts>
    <vt:vector size="1" baseType="lpstr">
      <vt:lpstr>מבט יהודי להצעת החוק "אימוץ ילד מחו"ל"</vt:lpstr>
    </vt:vector>
  </TitlesOfParts>
  <Company/>
  <LinksUpToDate>false</LinksUpToDate>
  <CharactersWithSpaces>3477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מבט יהודי להצעת החוק "אימוץ ילד מחו"ל"</dc:title>
  <dc:subject/>
  <dc:creator>Baruch Weintraub</dc:creator>
  <cp:keywords/>
  <cp:lastModifiedBy>Baruch Weintraub</cp:lastModifiedBy>
  <cp:revision>5</cp:revision>
  <cp:lastPrinted>2016-02-21T08:13:00Z</cp:lastPrinted>
  <dcterms:created xsi:type="dcterms:W3CDTF">2018-12-22T17:34:00Z</dcterms:created>
  <dcterms:modified xsi:type="dcterms:W3CDTF">2018-12-30T09:33:00Z</dcterms:modified>
</cp:coreProperties>
</file>