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9906B" w14:textId="77D38B1F" w:rsidR="00417B56" w:rsidRPr="00417B56" w:rsidRDefault="00417B56" w:rsidP="00417B56">
      <w:pPr>
        <w:jc w:val="center"/>
        <w:rPr>
          <w:rStyle w:val="a8"/>
          <w:rFonts w:ascii="Arial" w:hAnsi="Arial" w:cs="Guttman Keren"/>
          <w:b w:val="0"/>
          <w:color w:val="1D5872"/>
          <w:sz w:val="22"/>
          <w:szCs w:val="22"/>
          <w:rtl/>
        </w:rPr>
      </w:pPr>
      <w:r w:rsidRPr="00417B56">
        <w:rPr>
          <w:rStyle w:val="a8"/>
          <w:rFonts w:ascii="Arial" w:hAnsi="Arial" w:cs="Guttman Keren"/>
          <w:b w:val="0"/>
          <w:color w:val="1D5872"/>
          <w:sz w:val="22"/>
          <w:szCs w:val="22"/>
          <w:rtl/>
        </w:rPr>
        <w:t>נייר עמדה</w:t>
      </w:r>
    </w:p>
    <w:p w14:paraId="328E00CD" w14:textId="5391CEAC" w:rsidR="00417B56" w:rsidRPr="001A7452" w:rsidRDefault="00FC1187" w:rsidP="006C63BC">
      <w:pPr>
        <w:jc w:val="center"/>
        <w:rPr>
          <w:rStyle w:val="a8"/>
          <w:rFonts w:ascii="Arial" w:hAnsi="Arial" w:cs="Guttman Keren"/>
          <w:bCs/>
          <w:color w:val="1D5872"/>
          <w:sz w:val="28"/>
          <w:szCs w:val="28"/>
          <w:rtl/>
        </w:rPr>
      </w:pPr>
      <w:r>
        <w:rPr>
          <w:rStyle w:val="a8"/>
          <w:rFonts w:ascii="Arial" w:hAnsi="Arial" w:cs="Guttman Keren" w:hint="cs"/>
          <w:bCs/>
          <w:color w:val="1D5872"/>
          <w:sz w:val="28"/>
          <w:szCs w:val="28"/>
          <w:rtl/>
        </w:rPr>
        <w:t>חובת המדינה לספק דיור לאזרחיה</w:t>
      </w:r>
    </w:p>
    <w:p w14:paraId="0CC19550" w14:textId="77777777" w:rsidR="00417B56" w:rsidRPr="00B35509" w:rsidRDefault="00417B56" w:rsidP="00417B56">
      <w:pPr>
        <w:rPr>
          <w:rStyle w:val="a8"/>
          <w:rFonts w:ascii="Arial" w:hAnsi="Arial" w:cs="Guttman Keren"/>
          <w:bCs/>
          <w:color w:val="1D5872"/>
          <w:sz w:val="24"/>
          <w:rtl/>
        </w:rPr>
      </w:pPr>
      <w:r w:rsidRPr="00B35509">
        <w:rPr>
          <w:rStyle w:val="a8"/>
          <w:rFonts w:ascii="Arial" w:hAnsi="Arial" w:cs="Guttman Keren"/>
          <w:bCs/>
          <w:color w:val="1D5872"/>
          <w:sz w:val="24"/>
          <w:rtl/>
        </w:rPr>
        <w:t>מבוא</w:t>
      </w:r>
    </w:p>
    <w:p w14:paraId="7989D38F" w14:textId="519DAE72" w:rsidR="00417B56" w:rsidRDefault="00417B56" w:rsidP="006C63BC">
      <w:pPr>
        <w:rPr>
          <w:snapToGrid w:val="0"/>
          <w:rtl/>
          <w:lang w:eastAsia="ja-JP"/>
        </w:rPr>
      </w:pPr>
      <w:r>
        <w:rPr>
          <w:rFonts w:hint="cs"/>
          <w:snapToGrid w:val="0"/>
          <w:rtl/>
          <w:lang w:eastAsia="ja-JP"/>
        </w:rPr>
        <w:t>יחסו המיוחד של האדם אל מקום מגוריו הקבוע, ביתו, בא לידי ביטוי במקרא ובדברי חכמים באופנים שונים: הבית משמש דימוי לאדם ולמשפחתו;</w:t>
      </w:r>
      <w:r>
        <w:rPr>
          <w:rStyle w:val="af0"/>
          <w:snapToGrid w:val="0"/>
          <w:color w:val="000000"/>
          <w:sz w:val="24"/>
          <w:rtl/>
          <w:lang w:eastAsia="ja-JP"/>
        </w:rPr>
        <w:endnoteReference w:id="1"/>
      </w:r>
      <w:r>
        <w:rPr>
          <w:rFonts w:hint="cs"/>
          <w:snapToGrid w:val="0"/>
          <w:rtl/>
          <w:lang w:eastAsia="ja-JP"/>
        </w:rPr>
        <w:t xml:space="preserve"> הכנסת אורחים אל הבית מתוארת כמעשה בעל חשיבות יתרה;</w:t>
      </w:r>
      <w:r>
        <w:rPr>
          <w:rStyle w:val="af0"/>
          <w:snapToGrid w:val="0"/>
          <w:color w:val="000000"/>
          <w:sz w:val="24"/>
          <w:rtl/>
          <w:lang w:eastAsia="ja-JP"/>
        </w:rPr>
        <w:endnoteReference w:id="2"/>
      </w:r>
      <w:r>
        <w:rPr>
          <w:rFonts w:hint="cs"/>
          <w:snapToGrid w:val="0"/>
          <w:rtl/>
          <w:lang w:eastAsia="ja-JP"/>
        </w:rPr>
        <w:t xml:space="preserve"> הבונה בית חדש ו</w:t>
      </w:r>
      <w:r w:rsidR="006C63BC">
        <w:rPr>
          <w:rFonts w:hint="cs"/>
          <w:snapToGrid w:val="0"/>
          <w:rtl/>
          <w:lang w:eastAsia="ja-JP"/>
        </w:rPr>
        <w:t>טרם</w:t>
      </w:r>
      <w:r>
        <w:rPr>
          <w:rFonts w:hint="cs"/>
          <w:snapToGrid w:val="0"/>
          <w:rtl/>
          <w:lang w:eastAsia="ja-JP"/>
        </w:rPr>
        <w:t xml:space="preserve"> הספיק לחנוך אותו, פטור מיציאה למלחמה.</w:t>
      </w:r>
      <w:r>
        <w:rPr>
          <w:rStyle w:val="af0"/>
          <w:snapToGrid w:val="0"/>
          <w:color w:val="000000"/>
          <w:sz w:val="24"/>
          <w:rtl/>
          <w:lang w:eastAsia="ja-JP"/>
        </w:rPr>
        <w:endnoteReference w:id="3"/>
      </w:r>
      <w:r>
        <w:rPr>
          <w:rFonts w:hint="cs"/>
          <w:snapToGrid w:val="0"/>
          <w:rtl/>
          <w:lang w:eastAsia="ja-JP"/>
        </w:rPr>
        <w:t xml:space="preserve"> אף </w:t>
      </w:r>
      <w:r w:rsidR="006C63BC">
        <w:rPr>
          <w:rFonts w:hint="cs"/>
          <w:snapToGrid w:val="0"/>
          <w:rtl/>
          <w:lang w:eastAsia="ja-JP"/>
        </w:rPr>
        <w:t xml:space="preserve">בהקשרים </w:t>
      </w:r>
      <w:r>
        <w:rPr>
          <w:rFonts w:hint="cs"/>
          <w:snapToGrid w:val="0"/>
          <w:rtl/>
          <w:lang w:eastAsia="ja-JP"/>
        </w:rPr>
        <w:t>שלילי</w:t>
      </w:r>
      <w:r w:rsidR="006C63BC">
        <w:rPr>
          <w:rFonts w:hint="cs"/>
          <w:snapToGrid w:val="0"/>
          <w:rtl/>
          <w:lang w:eastAsia="ja-JP"/>
        </w:rPr>
        <w:t>ים</w:t>
      </w:r>
      <w:r>
        <w:rPr>
          <w:rFonts w:hint="cs"/>
          <w:snapToGrid w:val="0"/>
          <w:rtl/>
          <w:lang w:eastAsia="ja-JP"/>
        </w:rPr>
        <w:t xml:space="preserve"> מתגלה ערכו של הבית: נגעים הפושים בבית באים כעונש על חטאיו של האדם;</w:t>
      </w:r>
      <w:r>
        <w:rPr>
          <w:rStyle w:val="af0"/>
          <w:snapToGrid w:val="0"/>
          <w:color w:val="000000"/>
          <w:sz w:val="24"/>
          <w:rtl/>
          <w:lang w:eastAsia="ja-JP"/>
        </w:rPr>
        <w:endnoteReference w:id="4"/>
      </w:r>
      <w:r>
        <w:rPr>
          <w:rFonts w:hint="cs"/>
          <w:snapToGrid w:val="0"/>
          <w:rtl/>
          <w:lang w:eastAsia="ja-JP"/>
        </w:rPr>
        <w:t xml:space="preserve"> ואחת הקללות החמורות ביותר </w:t>
      </w:r>
      <w:r w:rsidR="001A02B8">
        <w:rPr>
          <w:rFonts w:hint="cs"/>
          <w:snapToGrid w:val="0"/>
          <w:rtl/>
          <w:lang w:eastAsia="ja-JP"/>
        </w:rPr>
        <w:t xml:space="preserve">במקרא </w:t>
      </w:r>
      <w:r w:rsidR="006C63BC">
        <w:rPr>
          <w:rFonts w:hint="cs"/>
          <w:snapToGrid w:val="0"/>
          <w:rtl/>
          <w:lang w:eastAsia="ja-JP"/>
        </w:rPr>
        <w:t>הי</w:t>
      </w:r>
      <w:r>
        <w:rPr>
          <w:rFonts w:hint="cs"/>
          <w:snapToGrid w:val="0"/>
          <w:rtl/>
          <w:lang w:eastAsia="ja-JP"/>
        </w:rPr>
        <w:t>א גלות האדם מביתו</w:t>
      </w:r>
      <w:r w:rsidR="001A02B8">
        <w:rPr>
          <w:rFonts w:hint="cs"/>
          <w:snapToGrid w:val="0"/>
          <w:rtl/>
          <w:lang w:eastAsia="ja-JP"/>
        </w:rPr>
        <w:t>,</w:t>
      </w:r>
      <w:r>
        <w:rPr>
          <w:rStyle w:val="af0"/>
          <w:snapToGrid w:val="0"/>
          <w:color w:val="000000"/>
          <w:sz w:val="24"/>
          <w:rtl/>
          <w:lang w:eastAsia="ja-JP"/>
        </w:rPr>
        <w:endnoteReference w:id="5"/>
      </w:r>
      <w:r>
        <w:rPr>
          <w:rFonts w:hint="cs"/>
          <w:snapToGrid w:val="0"/>
          <w:rtl/>
          <w:lang w:eastAsia="ja-JP"/>
        </w:rPr>
        <w:t xml:space="preserve"> וחורבנו של הבית.</w:t>
      </w:r>
      <w:r>
        <w:rPr>
          <w:rStyle w:val="af0"/>
          <w:snapToGrid w:val="0"/>
          <w:color w:val="000000"/>
          <w:sz w:val="24"/>
          <w:rtl/>
          <w:lang w:eastAsia="ja-JP"/>
        </w:rPr>
        <w:endnoteReference w:id="6"/>
      </w:r>
    </w:p>
    <w:p w14:paraId="2C201F5A" w14:textId="1689EADD" w:rsidR="00417B56" w:rsidRDefault="00417B56" w:rsidP="00FC1187">
      <w:pPr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</w:pPr>
      <w:r>
        <w:rPr>
          <w:rFonts w:hint="cs"/>
          <w:snapToGrid w:val="0"/>
          <w:rtl/>
          <w:lang w:eastAsia="ja-JP"/>
        </w:rPr>
        <w:t xml:space="preserve">בנייר עמדה זה </w:t>
      </w:r>
      <w:r w:rsidR="001A02B8">
        <w:rPr>
          <w:rFonts w:hint="cs"/>
          <w:snapToGrid w:val="0"/>
          <w:rtl/>
          <w:lang w:eastAsia="ja-JP"/>
        </w:rPr>
        <w:t>נע</w:t>
      </w:r>
      <w:r w:rsidR="00D34804">
        <w:rPr>
          <w:rFonts w:hint="cs"/>
          <w:snapToGrid w:val="0"/>
          <w:rtl/>
          <w:lang w:eastAsia="ja-JP"/>
        </w:rPr>
        <w:t>סוק</w:t>
      </w:r>
      <w:r w:rsidR="001A02B8">
        <w:rPr>
          <w:rFonts w:hint="cs"/>
          <w:snapToGrid w:val="0"/>
          <w:rtl/>
          <w:lang w:eastAsia="ja-JP"/>
        </w:rPr>
        <w:t xml:space="preserve"> </w:t>
      </w:r>
      <w:r w:rsidR="00D34804">
        <w:rPr>
          <w:rFonts w:hint="cs"/>
          <w:snapToGrid w:val="0"/>
          <w:rtl/>
          <w:lang w:eastAsia="ja-JP"/>
        </w:rPr>
        <w:t>ב</w:t>
      </w:r>
      <w:r w:rsidR="00FC1187">
        <w:rPr>
          <w:rFonts w:hint="cs"/>
          <w:snapToGrid w:val="0"/>
          <w:rtl/>
          <w:lang w:eastAsia="ja-JP"/>
        </w:rPr>
        <w:t>שאלה האם ישנה ל</w:t>
      </w:r>
      <w:r w:rsidR="00D34804">
        <w:rPr>
          <w:rFonts w:hint="cs"/>
          <w:snapToGrid w:val="0"/>
          <w:rtl/>
          <w:lang w:eastAsia="ja-JP"/>
        </w:rPr>
        <w:t>חברה</w:t>
      </w:r>
      <w:r w:rsidR="00FC1187">
        <w:rPr>
          <w:rFonts w:hint="cs"/>
          <w:snapToGrid w:val="0"/>
          <w:rtl/>
          <w:lang w:eastAsia="ja-JP"/>
        </w:rPr>
        <w:t xml:space="preserve"> חובה</w:t>
      </w:r>
      <w:r w:rsidR="00D34804">
        <w:rPr>
          <w:rFonts w:hint="cs"/>
          <w:snapToGrid w:val="0"/>
          <w:rtl/>
          <w:lang w:eastAsia="ja-JP"/>
        </w:rPr>
        <w:t xml:space="preserve"> לספק דיור לבניה</w:t>
      </w:r>
      <w:r w:rsidR="00FC1187">
        <w:rPr>
          <w:rFonts w:hint="cs"/>
          <w:snapToGrid w:val="0"/>
          <w:rtl/>
          <w:lang w:eastAsia="ja-JP"/>
        </w:rPr>
        <w:t>, וב</w:t>
      </w:r>
      <w:bookmarkStart w:id="0" w:name="_GoBack"/>
      <w:bookmarkEnd w:id="0"/>
      <w:r w:rsidR="00FC1187">
        <w:rPr>
          <w:rFonts w:hint="cs"/>
          <w:snapToGrid w:val="0"/>
          <w:rtl/>
          <w:lang w:eastAsia="ja-JP"/>
        </w:rPr>
        <w:t>פרט לאלו המתקשים בכך.</w:t>
      </w:r>
    </w:p>
    <w:p w14:paraId="675F78A4" w14:textId="77777777" w:rsidR="00417B56" w:rsidRPr="00B35509" w:rsidRDefault="00417B56" w:rsidP="00417B56">
      <w:pPr>
        <w:rPr>
          <w:rFonts w:ascii="Arial" w:hAnsi="Arial" w:cs="Guttman Keren"/>
          <w:b/>
          <w:bCs/>
          <w:color w:val="1D5872"/>
          <w:sz w:val="22"/>
          <w:szCs w:val="22"/>
          <w:rtl/>
        </w:rPr>
      </w:pP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 xml:space="preserve">מבט </w:t>
      </w: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>יהודי</w:t>
      </w:r>
    </w:p>
    <w:p w14:paraId="54A40737" w14:textId="0C1AF1B5" w:rsidR="00417B56" w:rsidRDefault="00417B56" w:rsidP="00365364">
      <w:pPr>
        <w:rPr>
          <w:sz w:val="24"/>
        </w:rPr>
      </w:pPr>
      <w:r>
        <w:rPr>
          <w:rFonts w:hint="cs"/>
          <w:b/>
          <w:bCs/>
          <w:sz w:val="24"/>
          <w:rtl/>
        </w:rPr>
        <w:t>1. סיפוק חסרונו של אדם</w:t>
      </w:r>
      <w:r>
        <w:rPr>
          <w:b/>
          <w:bCs/>
          <w:sz w:val="24"/>
          <w:rtl/>
        </w:rPr>
        <w:t xml:space="preserve"> –</w:t>
      </w:r>
      <w:r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התורה מצווה </w:t>
      </w:r>
      <w:r w:rsidR="00D34804">
        <w:rPr>
          <w:rFonts w:hint="cs"/>
          <w:sz w:val="24"/>
          <w:rtl/>
        </w:rPr>
        <w:t>את האדם לפתוח את לבבו וידי</w:t>
      </w:r>
      <w:r>
        <w:rPr>
          <w:rFonts w:hint="cs"/>
          <w:sz w:val="24"/>
          <w:rtl/>
        </w:rPr>
        <w:t xml:space="preserve">ו כלפי </w:t>
      </w:r>
      <w:r w:rsidR="00D34804">
        <w:rPr>
          <w:rFonts w:hint="cs"/>
          <w:sz w:val="24"/>
          <w:rtl/>
        </w:rPr>
        <w:t xml:space="preserve">מי מאחיו </w:t>
      </w:r>
      <w:r>
        <w:rPr>
          <w:rFonts w:hint="cs"/>
          <w:sz w:val="24"/>
          <w:rtl/>
        </w:rPr>
        <w:t>שאינו מסוגל למלא את צ</w:t>
      </w:r>
      <w:r w:rsidR="006C63BC">
        <w:rPr>
          <w:rFonts w:hint="cs"/>
          <w:sz w:val="24"/>
          <w:rtl/>
        </w:rPr>
        <w:t xml:space="preserve">רכיו בעצמו, ודורשת </w:t>
      </w:r>
      <w:proofErr w:type="spellStart"/>
      <w:r w:rsidR="006C63BC">
        <w:rPr>
          <w:rFonts w:hint="cs"/>
          <w:sz w:val="24"/>
          <w:rtl/>
        </w:rPr>
        <w:t>מאיתנו</w:t>
      </w:r>
      <w:proofErr w:type="spellEnd"/>
      <w:r w:rsidR="006C63BC">
        <w:rPr>
          <w:rFonts w:hint="cs"/>
          <w:sz w:val="24"/>
          <w:rtl/>
        </w:rPr>
        <w:t xml:space="preserve"> לתת לעני</w:t>
      </w:r>
      <w:r>
        <w:rPr>
          <w:rFonts w:hint="cs"/>
          <w:sz w:val="24"/>
          <w:rtl/>
        </w:rPr>
        <w:t xml:space="preserve"> "ד</w:t>
      </w:r>
      <w:r w:rsidR="006C63BC">
        <w:rPr>
          <w:rFonts w:hint="cs"/>
          <w:sz w:val="24"/>
          <w:rtl/>
        </w:rPr>
        <w:t>ֵ</w:t>
      </w:r>
      <w:r>
        <w:rPr>
          <w:rFonts w:hint="cs"/>
          <w:sz w:val="24"/>
          <w:rtl/>
        </w:rPr>
        <w:t>י מחס</w:t>
      </w:r>
      <w:r w:rsidR="00CE53A5">
        <w:rPr>
          <w:rFonts w:hint="cs"/>
          <w:sz w:val="24"/>
          <w:rtl/>
        </w:rPr>
        <w:t>ֹ</w:t>
      </w:r>
      <w:r>
        <w:rPr>
          <w:rFonts w:hint="cs"/>
          <w:sz w:val="24"/>
          <w:rtl/>
        </w:rPr>
        <w:t>רו אשר יחסר לו"</w:t>
      </w:r>
      <w:r w:rsidR="00CE53A5">
        <w:rPr>
          <w:rFonts w:hint="cs"/>
          <w:sz w:val="24"/>
          <w:rtl/>
        </w:rPr>
        <w:t xml:space="preserve"> (דברים טו, ח)</w:t>
      </w:r>
      <w:r>
        <w:rPr>
          <w:rFonts w:hint="cs"/>
          <w:sz w:val="24"/>
          <w:rtl/>
        </w:rPr>
        <w:t>.</w:t>
      </w:r>
      <w:r w:rsidR="00D34804">
        <w:rPr>
          <w:rFonts w:hint="cs"/>
          <w:sz w:val="24"/>
          <w:rtl/>
        </w:rPr>
        <w:t xml:space="preserve"> ב</w:t>
      </w:r>
      <w:r>
        <w:rPr>
          <w:rFonts w:hint="cs"/>
          <w:sz w:val="24"/>
          <w:rtl/>
        </w:rPr>
        <w:t>תלמוד</w:t>
      </w:r>
      <w:r w:rsidR="00D34804">
        <w:rPr>
          <w:rFonts w:hint="cs"/>
          <w:sz w:val="24"/>
          <w:rtl/>
        </w:rPr>
        <w:t xml:space="preserve"> הבבלי (</w:t>
      </w:r>
      <w:r>
        <w:rPr>
          <w:rFonts w:hint="cs"/>
          <w:sz w:val="24"/>
          <w:rtl/>
        </w:rPr>
        <w:t>כתובות</w:t>
      </w:r>
      <w:r w:rsidR="00D34804">
        <w:rPr>
          <w:rFonts w:hint="cs"/>
          <w:sz w:val="24"/>
          <w:rtl/>
        </w:rPr>
        <w:t xml:space="preserve"> </w:t>
      </w:r>
      <w:proofErr w:type="spellStart"/>
      <w:r w:rsidR="00D34804">
        <w:rPr>
          <w:rFonts w:hint="cs"/>
          <w:sz w:val="24"/>
          <w:rtl/>
        </w:rPr>
        <w:t>סז</w:t>
      </w:r>
      <w:proofErr w:type="spellEnd"/>
      <w:r w:rsidR="00D34804">
        <w:rPr>
          <w:rFonts w:hint="cs"/>
          <w:sz w:val="24"/>
          <w:rtl/>
        </w:rPr>
        <w:t xml:space="preserve"> ע"ב)</w:t>
      </w:r>
      <w:r>
        <w:rPr>
          <w:rFonts w:hint="cs"/>
          <w:sz w:val="24"/>
          <w:rtl/>
        </w:rPr>
        <w:t xml:space="preserve"> </w:t>
      </w:r>
      <w:r w:rsidR="00D34804">
        <w:rPr>
          <w:rFonts w:hint="cs"/>
          <w:sz w:val="24"/>
          <w:rtl/>
        </w:rPr>
        <w:t xml:space="preserve">נאמר כי </w:t>
      </w:r>
      <w:r>
        <w:rPr>
          <w:rFonts w:hint="cs"/>
          <w:sz w:val="24"/>
          <w:rtl/>
        </w:rPr>
        <w:t>"</w:t>
      </w:r>
      <w:r w:rsidRPr="00A61330">
        <w:rPr>
          <w:sz w:val="24"/>
          <w:rtl/>
        </w:rPr>
        <w:t xml:space="preserve">די מחסורו </w:t>
      </w:r>
      <w:r w:rsidR="00D34804"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</w:t>
      </w:r>
      <w:r w:rsidRPr="00A61330">
        <w:rPr>
          <w:sz w:val="24"/>
          <w:rtl/>
        </w:rPr>
        <w:t>זה הבית</w:t>
      </w:r>
      <w:r w:rsidR="00D34804">
        <w:rPr>
          <w:rFonts w:hint="cs"/>
          <w:sz w:val="24"/>
          <w:rtl/>
        </w:rPr>
        <w:t>;</w:t>
      </w:r>
      <w:r w:rsidRPr="00A61330">
        <w:rPr>
          <w:sz w:val="24"/>
          <w:rtl/>
        </w:rPr>
        <w:t xml:space="preserve"> אשר יחסר </w:t>
      </w:r>
      <w:r w:rsidR="00D34804"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</w:t>
      </w:r>
      <w:r w:rsidRPr="00A61330">
        <w:rPr>
          <w:sz w:val="24"/>
          <w:rtl/>
        </w:rPr>
        <w:t>זה מטה וש</w:t>
      </w:r>
      <w:r w:rsidR="00365364">
        <w:rPr>
          <w:rFonts w:hint="cs"/>
          <w:sz w:val="24"/>
          <w:rtl/>
        </w:rPr>
        <w:t>ו</w:t>
      </w:r>
      <w:r w:rsidRPr="00A61330">
        <w:rPr>
          <w:sz w:val="24"/>
          <w:rtl/>
        </w:rPr>
        <w:t>לחן</w:t>
      </w:r>
      <w:r>
        <w:rPr>
          <w:rFonts w:hint="cs"/>
          <w:sz w:val="24"/>
          <w:rtl/>
        </w:rPr>
        <w:t>".</w:t>
      </w:r>
      <w:r w:rsidR="00D34804">
        <w:rPr>
          <w:rFonts w:hint="cs"/>
          <w:sz w:val="24"/>
          <w:rtl/>
        </w:rPr>
        <w:t xml:space="preserve"> כך נפסק גם להלכה</w:t>
      </w:r>
      <w:r>
        <w:rPr>
          <w:rFonts w:hint="cs"/>
          <w:sz w:val="24"/>
          <w:rtl/>
        </w:rPr>
        <w:t>: "</w:t>
      </w:r>
      <w:r w:rsidRPr="00A61330">
        <w:rPr>
          <w:sz w:val="24"/>
          <w:rtl/>
        </w:rPr>
        <w:t xml:space="preserve">כמה </w:t>
      </w:r>
      <w:proofErr w:type="spellStart"/>
      <w:r w:rsidRPr="00A61330">
        <w:rPr>
          <w:sz w:val="24"/>
          <w:rtl/>
        </w:rPr>
        <w:t>נותנין</w:t>
      </w:r>
      <w:proofErr w:type="spellEnd"/>
      <w:r w:rsidR="00D34804">
        <w:rPr>
          <w:sz w:val="24"/>
          <w:rtl/>
        </w:rPr>
        <w:t xml:space="preserve"> לעני</w:t>
      </w:r>
      <w:r w:rsidR="00D34804">
        <w:rPr>
          <w:rFonts w:hint="cs"/>
          <w:sz w:val="24"/>
          <w:rtl/>
        </w:rPr>
        <w:t>?</w:t>
      </w:r>
      <w:r w:rsidRPr="00A61330">
        <w:rPr>
          <w:sz w:val="24"/>
          <w:rtl/>
        </w:rPr>
        <w:t xml:space="preserve"> די מחסורו אשר יחסר לו. כיצד</w:t>
      </w:r>
      <w:r w:rsidR="00D34804">
        <w:rPr>
          <w:rFonts w:hint="cs"/>
          <w:sz w:val="24"/>
          <w:rtl/>
        </w:rPr>
        <w:t>?</w:t>
      </w:r>
      <w:r>
        <w:rPr>
          <w:rFonts w:hint="cs"/>
          <w:sz w:val="24"/>
          <w:rtl/>
        </w:rPr>
        <w:t xml:space="preserve">... </w:t>
      </w:r>
      <w:r w:rsidRPr="00A61330">
        <w:rPr>
          <w:sz w:val="24"/>
          <w:rtl/>
        </w:rPr>
        <w:t>ושוכרים לו בית ומציעים לו מטה וכלי תשמישו</w:t>
      </w:r>
      <w:r>
        <w:rPr>
          <w:rFonts w:hint="cs"/>
          <w:sz w:val="24"/>
          <w:rtl/>
        </w:rPr>
        <w:t>".</w:t>
      </w:r>
      <w:r>
        <w:rPr>
          <w:rStyle w:val="af0"/>
          <w:sz w:val="24"/>
          <w:rtl/>
        </w:rPr>
        <w:endnoteReference w:id="7"/>
      </w:r>
    </w:p>
    <w:p w14:paraId="33B5A871" w14:textId="00B765A1" w:rsidR="00417B56" w:rsidRDefault="00417B56" w:rsidP="006C63BC">
      <w:pPr>
        <w:rPr>
          <w:sz w:val="24"/>
        </w:rPr>
      </w:pPr>
      <w:r>
        <w:rPr>
          <w:rFonts w:hint="cs"/>
          <w:b/>
          <w:bCs/>
          <w:sz w:val="24"/>
          <w:rtl/>
        </w:rPr>
        <w:t>2. מגורים או בעלות</w:t>
      </w:r>
      <w:r>
        <w:rPr>
          <w:rFonts w:hint="cs"/>
          <w:sz w:val="24"/>
          <w:rtl/>
        </w:rPr>
        <w:t xml:space="preserve"> </w:t>
      </w:r>
      <w:r>
        <w:rPr>
          <w:sz w:val="24"/>
          <w:rtl/>
        </w:rPr>
        <w:t>–</w:t>
      </w:r>
      <w:r w:rsidR="00D34804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החובה </w:t>
      </w:r>
      <w:r w:rsidR="00D34804">
        <w:rPr>
          <w:rFonts w:hint="cs"/>
          <w:sz w:val="24"/>
          <w:rtl/>
        </w:rPr>
        <w:t xml:space="preserve">לסייע לנזקק </w:t>
      </w:r>
      <w:r w:rsidR="005C58EA">
        <w:rPr>
          <w:rFonts w:hint="cs"/>
          <w:sz w:val="24"/>
          <w:rtl/>
        </w:rPr>
        <w:t>עוסקת ב</w:t>
      </w:r>
      <w:r w:rsidR="00D34804">
        <w:rPr>
          <w:rFonts w:hint="cs"/>
          <w:sz w:val="24"/>
          <w:rtl/>
        </w:rPr>
        <w:t xml:space="preserve">הבטחת </w:t>
      </w:r>
      <w:r>
        <w:rPr>
          <w:rFonts w:hint="cs"/>
          <w:sz w:val="24"/>
          <w:rtl/>
        </w:rPr>
        <w:t>דיור</w:t>
      </w:r>
      <w:r w:rsidR="005C58EA">
        <w:rPr>
          <w:rFonts w:hint="cs"/>
          <w:sz w:val="24"/>
          <w:rtl/>
        </w:rPr>
        <w:t xml:space="preserve"> ולא בקניית דירה</w:t>
      </w:r>
      <w:r w:rsidR="00D34804">
        <w:rPr>
          <w:rFonts w:hint="cs"/>
          <w:sz w:val="24"/>
          <w:rtl/>
        </w:rPr>
        <w:t>;</w:t>
      </w:r>
      <w:r>
        <w:rPr>
          <w:rFonts w:hint="cs"/>
          <w:sz w:val="24"/>
          <w:rtl/>
        </w:rPr>
        <w:t xml:space="preserve"> ו</w:t>
      </w:r>
      <w:r w:rsidR="00D34804">
        <w:rPr>
          <w:rFonts w:hint="cs"/>
          <w:sz w:val="24"/>
          <w:rtl/>
        </w:rPr>
        <w:t>מובן ש</w:t>
      </w:r>
      <w:r>
        <w:rPr>
          <w:rFonts w:hint="cs"/>
          <w:sz w:val="24"/>
          <w:rtl/>
        </w:rPr>
        <w:t xml:space="preserve">לשם כך </w:t>
      </w:r>
      <w:r w:rsidR="00D34804">
        <w:rPr>
          <w:rFonts w:hint="cs"/>
          <w:sz w:val="24"/>
          <w:rtl/>
        </w:rPr>
        <w:t>די ב</w:t>
      </w:r>
      <w:r>
        <w:rPr>
          <w:rFonts w:hint="cs"/>
          <w:sz w:val="24"/>
          <w:rtl/>
        </w:rPr>
        <w:t>שכירות שיש בכ</w:t>
      </w:r>
      <w:r w:rsidR="00D34804">
        <w:rPr>
          <w:rFonts w:hint="cs"/>
          <w:sz w:val="24"/>
          <w:rtl/>
        </w:rPr>
        <w:t>ו</w:t>
      </w:r>
      <w:r>
        <w:rPr>
          <w:rFonts w:hint="cs"/>
          <w:sz w:val="24"/>
          <w:rtl/>
        </w:rPr>
        <w:t xml:space="preserve">חו </w:t>
      </w:r>
      <w:r w:rsidR="00D34804">
        <w:rPr>
          <w:rFonts w:hint="cs"/>
          <w:sz w:val="24"/>
          <w:rtl/>
        </w:rPr>
        <w:t xml:space="preserve">של האדם </w:t>
      </w:r>
      <w:r>
        <w:rPr>
          <w:rFonts w:hint="cs"/>
          <w:sz w:val="24"/>
          <w:rtl/>
        </w:rPr>
        <w:t>לש</w:t>
      </w:r>
      <w:r w:rsidR="005C58EA">
        <w:rPr>
          <w:rFonts w:hint="cs"/>
          <w:sz w:val="24"/>
          <w:rtl/>
        </w:rPr>
        <w:t>ׁ</w:t>
      </w:r>
      <w:r>
        <w:rPr>
          <w:rFonts w:hint="cs"/>
          <w:sz w:val="24"/>
          <w:rtl/>
        </w:rPr>
        <w:t>למה</w:t>
      </w:r>
      <w:r w:rsidR="00D34804">
        <w:rPr>
          <w:rFonts w:hint="cs"/>
          <w:sz w:val="24"/>
          <w:rtl/>
        </w:rPr>
        <w:t>ּ</w:t>
      </w:r>
      <w:r>
        <w:rPr>
          <w:rFonts w:hint="cs"/>
          <w:sz w:val="24"/>
          <w:rtl/>
        </w:rPr>
        <w:t>.</w:t>
      </w:r>
      <w:r>
        <w:rPr>
          <w:rStyle w:val="af0"/>
          <w:sz w:val="24"/>
          <w:rtl/>
        </w:rPr>
        <w:endnoteReference w:id="8"/>
      </w:r>
    </w:p>
    <w:p w14:paraId="5B0BBA43" w14:textId="3EAD7254" w:rsidR="00417B56" w:rsidRDefault="00417B56" w:rsidP="00365364">
      <w:pPr>
        <w:rPr>
          <w:b/>
          <w:bCs/>
          <w:sz w:val="24"/>
        </w:rPr>
      </w:pPr>
      <w:r>
        <w:rPr>
          <w:rFonts w:hint="cs"/>
          <w:b/>
          <w:bCs/>
          <w:sz w:val="24"/>
          <w:rtl/>
        </w:rPr>
        <w:t>3. דירה ראויה</w:t>
      </w:r>
      <w:r w:rsidRPr="00631452">
        <w:rPr>
          <w:sz w:val="24"/>
          <w:rtl/>
        </w:rPr>
        <w:t xml:space="preserve">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הדירה צריכה להיות ראויה למגורים</w:t>
      </w:r>
      <w:r w:rsidR="00365364">
        <w:rPr>
          <w:rFonts w:hint="cs"/>
          <w:sz w:val="24"/>
          <w:rtl/>
        </w:rPr>
        <w:t xml:space="preserve"> (שכן זהו החיסרון שאנו מבקשים למלא)</w:t>
      </w:r>
      <w:r>
        <w:rPr>
          <w:rFonts w:hint="cs"/>
          <w:sz w:val="24"/>
          <w:rtl/>
        </w:rPr>
        <w:t xml:space="preserve"> </w:t>
      </w:r>
      <w:r w:rsidR="00D34804">
        <w:rPr>
          <w:sz w:val="24"/>
          <w:rtl/>
        </w:rPr>
        <w:t>–</w:t>
      </w:r>
      <w:r w:rsidR="00D34804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>הן מבחינת התשתית,</w:t>
      </w:r>
      <w:r>
        <w:rPr>
          <w:rStyle w:val="af0"/>
          <w:sz w:val="24"/>
          <w:rtl/>
        </w:rPr>
        <w:endnoteReference w:id="9"/>
      </w:r>
      <w:r>
        <w:rPr>
          <w:rFonts w:hint="cs"/>
          <w:sz w:val="24"/>
          <w:rtl/>
        </w:rPr>
        <w:t xml:space="preserve"> הן מבחינת כלי הבית הבסיסיים.</w:t>
      </w:r>
      <w:r>
        <w:rPr>
          <w:rStyle w:val="af0"/>
          <w:sz w:val="24"/>
          <w:rtl/>
        </w:rPr>
        <w:endnoteReference w:id="10"/>
      </w:r>
      <w:r w:rsidR="006C63BC">
        <w:rPr>
          <w:rFonts w:hint="cs"/>
          <w:sz w:val="24"/>
          <w:rtl/>
        </w:rPr>
        <w:t xml:space="preserve"> ההגדרה המדויקת לדירה </w:t>
      </w:r>
      <w:r>
        <w:rPr>
          <w:rFonts w:hint="cs"/>
          <w:sz w:val="24"/>
          <w:rtl/>
        </w:rPr>
        <w:t>ראויה משתנה על פי הנהוג בציבור,</w:t>
      </w:r>
      <w:r>
        <w:rPr>
          <w:rStyle w:val="af0"/>
          <w:sz w:val="24"/>
          <w:rtl/>
        </w:rPr>
        <w:endnoteReference w:id="11"/>
      </w:r>
      <w:r w:rsidR="00365364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>וצריכה לה</w:t>
      </w:r>
      <w:r w:rsidR="00D34804">
        <w:rPr>
          <w:rFonts w:hint="cs"/>
          <w:sz w:val="24"/>
          <w:rtl/>
        </w:rPr>
        <w:t xml:space="preserve">לום את </w:t>
      </w:r>
      <w:r>
        <w:rPr>
          <w:rFonts w:hint="cs"/>
          <w:sz w:val="24"/>
          <w:rtl/>
        </w:rPr>
        <w:t>הרף התחתון.</w:t>
      </w:r>
      <w:r>
        <w:rPr>
          <w:rStyle w:val="af0"/>
          <w:sz w:val="24"/>
          <w:rtl/>
        </w:rPr>
        <w:endnoteReference w:id="12"/>
      </w:r>
    </w:p>
    <w:p w14:paraId="6BF5738E" w14:textId="6E3CC6C1" w:rsidR="00417B56" w:rsidRPr="00973D50" w:rsidRDefault="00417B56" w:rsidP="006C63BC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4. גבולות דין 'די מחסורו'</w:t>
      </w:r>
      <w:r>
        <w:rPr>
          <w:rFonts w:hint="cs"/>
          <w:sz w:val="24"/>
          <w:rtl/>
        </w:rPr>
        <w:t xml:space="preserve">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על אף </w:t>
      </w:r>
      <w:r w:rsidR="006C63BC">
        <w:rPr>
          <w:rFonts w:hint="cs"/>
          <w:sz w:val="24"/>
          <w:rtl/>
        </w:rPr>
        <w:t>האמור לעיל, אין דין '</w:t>
      </w:r>
      <w:r>
        <w:rPr>
          <w:rFonts w:hint="cs"/>
          <w:sz w:val="24"/>
          <w:rtl/>
        </w:rPr>
        <w:t>די מחסורו' עולה לכדי חובה אבסולוטית הגוברת על כל צורך ציבורי אחר.</w:t>
      </w:r>
      <w:r>
        <w:rPr>
          <w:rStyle w:val="af0"/>
          <w:sz w:val="24"/>
          <w:rtl/>
        </w:rPr>
        <w:endnoteReference w:id="13"/>
      </w:r>
      <w:r>
        <w:rPr>
          <w:rFonts w:hint="cs"/>
          <w:sz w:val="24"/>
          <w:rtl/>
        </w:rPr>
        <w:t xml:space="preserve"> ככל שהדברים באים לידי התנגשות, צ</w:t>
      </w:r>
      <w:r w:rsidR="00D34804">
        <w:rPr>
          <w:rFonts w:hint="cs"/>
          <w:sz w:val="24"/>
          <w:rtl/>
        </w:rPr>
        <w:t>ו</w:t>
      </w:r>
      <w:r>
        <w:rPr>
          <w:rFonts w:hint="cs"/>
          <w:sz w:val="24"/>
          <w:rtl/>
        </w:rPr>
        <w:t>רכי החיים הרגילים של הציבור גוברים על חובת סיפוק חסרונותיו של היחיד</w:t>
      </w:r>
      <w:r w:rsidR="00D34804">
        <w:rPr>
          <w:rFonts w:hint="cs"/>
          <w:sz w:val="24"/>
          <w:rtl/>
        </w:rPr>
        <w:t>;</w:t>
      </w:r>
      <w:r>
        <w:rPr>
          <w:rStyle w:val="af0"/>
          <w:sz w:val="24"/>
          <w:rtl/>
        </w:rPr>
        <w:endnoteReference w:id="14"/>
      </w:r>
      <w:r>
        <w:rPr>
          <w:rFonts w:hint="cs"/>
          <w:sz w:val="24"/>
          <w:rtl/>
        </w:rPr>
        <w:t xml:space="preserve"> </w:t>
      </w:r>
      <w:r w:rsidR="00D34804">
        <w:rPr>
          <w:rFonts w:hint="cs"/>
          <w:sz w:val="24"/>
          <w:rtl/>
        </w:rPr>
        <w:t>ו</w:t>
      </w:r>
      <w:r>
        <w:rPr>
          <w:rFonts w:hint="cs"/>
          <w:sz w:val="24"/>
          <w:rtl/>
        </w:rPr>
        <w:t xml:space="preserve">על כן, </w:t>
      </w:r>
      <w:r w:rsidRPr="005E64AD">
        <w:rPr>
          <w:sz w:val="24"/>
          <w:rtl/>
        </w:rPr>
        <w:t>אין הציבור חייב לוותר על צ</w:t>
      </w:r>
      <w:r w:rsidR="00D34804">
        <w:rPr>
          <w:rFonts w:hint="cs"/>
          <w:sz w:val="24"/>
          <w:rtl/>
        </w:rPr>
        <w:t>ו</w:t>
      </w:r>
      <w:r w:rsidR="00D34804">
        <w:rPr>
          <w:sz w:val="24"/>
          <w:rtl/>
        </w:rPr>
        <w:t>רכי חינוך ותרבות</w:t>
      </w:r>
      <w:r w:rsidR="00D34804">
        <w:rPr>
          <w:rFonts w:hint="cs"/>
          <w:sz w:val="24"/>
          <w:rtl/>
        </w:rPr>
        <w:t xml:space="preserve"> </w:t>
      </w:r>
      <w:r w:rsidR="00D34804">
        <w:rPr>
          <w:sz w:val="24"/>
          <w:rtl/>
        </w:rPr>
        <w:t>כדי לפרנס עניים, ו</w:t>
      </w:r>
      <w:r w:rsidR="00D34804">
        <w:rPr>
          <w:rFonts w:hint="cs"/>
          <w:sz w:val="24"/>
          <w:rtl/>
        </w:rPr>
        <w:t>ו</w:t>
      </w:r>
      <w:r w:rsidR="00D34804">
        <w:rPr>
          <w:sz w:val="24"/>
          <w:rtl/>
        </w:rPr>
        <w:t>דאי שאי</w:t>
      </w:r>
      <w:r w:rsidR="00D34804">
        <w:rPr>
          <w:rFonts w:hint="cs"/>
          <w:sz w:val="24"/>
          <w:rtl/>
        </w:rPr>
        <w:t>ן הוא</w:t>
      </w:r>
      <w:r w:rsidR="00D34804">
        <w:rPr>
          <w:sz w:val="24"/>
          <w:rtl/>
        </w:rPr>
        <w:t xml:space="preserve"> חייב לוותר על צרכיו </w:t>
      </w:r>
      <w:r w:rsidR="00CE53A5">
        <w:rPr>
          <w:rFonts w:hint="cs"/>
          <w:sz w:val="24"/>
          <w:rtl/>
        </w:rPr>
        <w:t xml:space="preserve">לשם סיוע </w:t>
      </w:r>
      <w:r w:rsidR="006C63BC">
        <w:rPr>
          <w:rFonts w:hint="cs"/>
          <w:sz w:val="24"/>
          <w:rtl/>
        </w:rPr>
        <w:t xml:space="preserve">יתר על כדי </w:t>
      </w:r>
      <w:r w:rsidRPr="005E64AD">
        <w:rPr>
          <w:sz w:val="24"/>
          <w:rtl/>
        </w:rPr>
        <w:t>קיום מינימלי.</w:t>
      </w:r>
      <w:r w:rsidR="00365364">
        <w:rPr>
          <w:rStyle w:val="af0"/>
          <w:sz w:val="24"/>
          <w:rtl/>
        </w:rPr>
        <w:endnoteReference w:id="15"/>
      </w:r>
    </w:p>
    <w:p w14:paraId="425EF8E9" w14:textId="58834446" w:rsidR="00417B56" w:rsidRDefault="00417B56" w:rsidP="006C63BC">
      <w:pPr>
        <w:rPr>
          <w:b/>
          <w:bCs/>
          <w:sz w:val="24"/>
        </w:rPr>
      </w:pPr>
      <w:r>
        <w:rPr>
          <w:rFonts w:hint="cs"/>
          <w:b/>
          <w:bCs/>
          <w:sz w:val="24"/>
          <w:rtl/>
        </w:rPr>
        <w:t xml:space="preserve">5. דיור ציבורי </w:t>
      </w:r>
      <w:r>
        <w:rPr>
          <w:b/>
          <w:bCs/>
          <w:sz w:val="24"/>
          <w:rtl/>
        </w:rPr>
        <w:t>–</w:t>
      </w:r>
      <w:r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sz w:val="24"/>
          <w:rtl/>
        </w:rPr>
        <w:t>במידה ש</w:t>
      </w:r>
      <w:r w:rsidR="00CE53A5">
        <w:rPr>
          <w:rFonts w:hint="cs"/>
          <w:sz w:val="24"/>
          <w:rtl/>
        </w:rPr>
        <w:t xml:space="preserve">מנהיגי הציבור </w:t>
      </w:r>
      <w:r w:rsidR="006C63BC">
        <w:rPr>
          <w:rFonts w:hint="cs"/>
          <w:sz w:val="24"/>
          <w:rtl/>
        </w:rPr>
        <w:t xml:space="preserve">מגיעים </w:t>
      </w:r>
      <w:r w:rsidR="00CE53A5">
        <w:rPr>
          <w:rFonts w:hint="cs"/>
          <w:sz w:val="24"/>
          <w:rtl/>
        </w:rPr>
        <w:t>למסקנה</w:t>
      </w:r>
      <w:r>
        <w:rPr>
          <w:rFonts w:hint="cs"/>
          <w:sz w:val="24"/>
          <w:rtl/>
        </w:rPr>
        <w:t xml:space="preserve"> כי מענה </w:t>
      </w:r>
      <w:r w:rsidR="00CE53A5">
        <w:rPr>
          <w:rFonts w:hint="cs"/>
          <w:sz w:val="24"/>
          <w:rtl/>
        </w:rPr>
        <w:t xml:space="preserve">הולם </w:t>
      </w:r>
      <w:r>
        <w:rPr>
          <w:rFonts w:hint="cs"/>
          <w:sz w:val="24"/>
          <w:rtl/>
        </w:rPr>
        <w:t>למכלול צ</w:t>
      </w:r>
      <w:r w:rsidR="00CE53A5">
        <w:rPr>
          <w:rFonts w:hint="cs"/>
          <w:sz w:val="24"/>
          <w:rtl/>
        </w:rPr>
        <w:t>ו</w:t>
      </w:r>
      <w:r>
        <w:rPr>
          <w:rFonts w:hint="cs"/>
          <w:sz w:val="24"/>
          <w:rtl/>
        </w:rPr>
        <w:t xml:space="preserve">רכי הדיור מצריך התערבות ישירה, מאפשרת ההלכה גביית מס מיוחד לצורך בניית דירות קטנות </w:t>
      </w:r>
      <w:r w:rsidR="00CE53A5">
        <w:rPr>
          <w:rFonts w:hint="cs"/>
          <w:sz w:val="24"/>
          <w:rtl/>
        </w:rPr>
        <w:t>ב</w:t>
      </w:r>
      <w:r>
        <w:rPr>
          <w:rFonts w:hint="cs"/>
          <w:sz w:val="24"/>
          <w:rtl/>
        </w:rPr>
        <w:t>עבור זוגות צעירים</w:t>
      </w:r>
      <w:r w:rsidR="00CE53A5">
        <w:rPr>
          <w:rFonts w:hint="cs"/>
          <w:sz w:val="24"/>
          <w:rtl/>
        </w:rPr>
        <w:t>,</w:t>
      </w:r>
      <w:r w:rsidR="00CE53A5">
        <w:rPr>
          <w:rStyle w:val="af0"/>
          <w:sz w:val="24"/>
          <w:rtl/>
        </w:rPr>
        <w:endnoteReference w:id="16"/>
      </w:r>
      <w:r>
        <w:rPr>
          <w:rFonts w:hint="cs"/>
          <w:sz w:val="24"/>
          <w:rtl/>
        </w:rPr>
        <w:t xml:space="preserve"> או </w:t>
      </w:r>
      <w:r w:rsidR="00CE53A5">
        <w:rPr>
          <w:rFonts w:hint="cs"/>
          <w:sz w:val="24"/>
          <w:rtl/>
        </w:rPr>
        <w:t xml:space="preserve">בעבור </w:t>
      </w:r>
      <w:r>
        <w:rPr>
          <w:rFonts w:hint="cs"/>
          <w:sz w:val="24"/>
          <w:rtl/>
        </w:rPr>
        <w:t>אנשים אחרים שהציבור מעוניין לתמוך בהם.</w:t>
      </w:r>
      <w:r>
        <w:rPr>
          <w:rStyle w:val="af0"/>
          <w:sz w:val="24"/>
          <w:rtl/>
        </w:rPr>
        <w:endnoteReference w:id="17"/>
      </w:r>
    </w:p>
    <w:p w14:paraId="507FD2E4" w14:textId="2780FF74" w:rsidR="00417B56" w:rsidRPr="005C58EA" w:rsidRDefault="00417B56" w:rsidP="00C44069">
      <w:pPr>
        <w:rPr>
          <w:sz w:val="24"/>
        </w:rPr>
      </w:pPr>
      <w:r>
        <w:rPr>
          <w:rFonts w:hint="cs"/>
          <w:b/>
          <w:bCs/>
          <w:sz w:val="24"/>
          <w:rtl/>
        </w:rPr>
        <w:t xml:space="preserve">6. תקנות השוכרים </w:t>
      </w:r>
      <w:r>
        <w:rPr>
          <w:b/>
          <w:bCs/>
          <w:sz w:val="24"/>
          <w:rtl/>
        </w:rPr>
        <w:t>–</w:t>
      </w:r>
      <w:r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sz w:val="24"/>
          <w:rtl/>
        </w:rPr>
        <w:t>פעילותם של חכמים בנוש</w:t>
      </w:r>
      <w:r w:rsidR="005C58EA">
        <w:rPr>
          <w:rFonts w:hint="cs"/>
          <w:sz w:val="24"/>
          <w:rtl/>
        </w:rPr>
        <w:t>א הדיור לא הצטמצמה רק לדאגה למי</w:t>
      </w:r>
      <w:r>
        <w:rPr>
          <w:rFonts w:hint="cs"/>
          <w:sz w:val="24"/>
          <w:rtl/>
        </w:rPr>
        <w:t xml:space="preserve"> ש</w:t>
      </w:r>
      <w:r w:rsidR="005C58EA">
        <w:rPr>
          <w:rFonts w:hint="cs"/>
          <w:sz w:val="24"/>
          <w:rtl/>
        </w:rPr>
        <w:t xml:space="preserve">אין </w:t>
      </w:r>
      <w:r>
        <w:rPr>
          <w:rFonts w:hint="cs"/>
          <w:sz w:val="24"/>
          <w:rtl/>
        </w:rPr>
        <w:t xml:space="preserve">ידם </w:t>
      </w:r>
      <w:r w:rsidR="005C58EA">
        <w:rPr>
          <w:rFonts w:hint="cs"/>
          <w:sz w:val="24"/>
          <w:rtl/>
        </w:rPr>
        <w:t xml:space="preserve">משגת </w:t>
      </w:r>
      <w:r>
        <w:rPr>
          <w:rFonts w:hint="cs"/>
          <w:sz w:val="24"/>
          <w:rtl/>
        </w:rPr>
        <w:t>כלל מגורים ראויים. חכמים הוסיפו ות</w:t>
      </w:r>
      <w:r w:rsidR="005C58EA">
        <w:rPr>
          <w:rFonts w:hint="cs"/>
          <w:sz w:val="24"/>
          <w:rtl/>
        </w:rPr>
        <w:t>י</w:t>
      </w:r>
      <w:r>
        <w:rPr>
          <w:rFonts w:hint="cs"/>
          <w:sz w:val="24"/>
          <w:rtl/>
        </w:rPr>
        <w:t xml:space="preserve">קנו תקנות שונות </w:t>
      </w:r>
      <w:r w:rsidR="005C58EA">
        <w:rPr>
          <w:rFonts w:hint="cs"/>
          <w:sz w:val="24"/>
          <w:rtl/>
        </w:rPr>
        <w:t>בנוגע</w:t>
      </w:r>
      <w:r>
        <w:rPr>
          <w:rFonts w:hint="cs"/>
          <w:sz w:val="24"/>
          <w:rtl/>
        </w:rPr>
        <w:t xml:space="preserve"> </w:t>
      </w:r>
      <w:r w:rsidR="005C58EA">
        <w:rPr>
          <w:rFonts w:hint="cs"/>
          <w:sz w:val="24"/>
          <w:rtl/>
        </w:rPr>
        <w:t>להשכרת הבתים,</w:t>
      </w:r>
      <w:r>
        <w:rPr>
          <w:rFonts w:hint="cs"/>
          <w:sz w:val="24"/>
          <w:rtl/>
        </w:rPr>
        <w:t xml:space="preserve"> </w:t>
      </w:r>
      <w:r w:rsidR="005C58EA">
        <w:rPr>
          <w:rFonts w:hint="cs"/>
          <w:sz w:val="24"/>
          <w:rtl/>
        </w:rPr>
        <w:t>ומטרתן</w:t>
      </w:r>
      <w:r w:rsidR="006C63BC">
        <w:rPr>
          <w:rFonts w:hint="cs"/>
          <w:sz w:val="24"/>
          <w:rtl/>
        </w:rPr>
        <w:t xml:space="preserve"> הייתה</w:t>
      </w:r>
      <w:r w:rsidR="005C58EA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להגן על </w:t>
      </w:r>
      <w:r w:rsidR="005C58EA">
        <w:rPr>
          <w:rFonts w:hint="cs"/>
          <w:sz w:val="24"/>
          <w:rtl/>
        </w:rPr>
        <w:t>ה</w:t>
      </w:r>
      <w:r>
        <w:rPr>
          <w:rFonts w:hint="cs"/>
          <w:sz w:val="24"/>
          <w:rtl/>
        </w:rPr>
        <w:t xml:space="preserve">שוכרים מפני תביעה </w:t>
      </w:r>
      <w:r>
        <w:rPr>
          <w:rFonts w:hint="cs"/>
          <w:sz w:val="24"/>
          <w:rtl/>
        </w:rPr>
        <w:lastRenderedPageBreak/>
        <w:t xml:space="preserve">לפינוי </w:t>
      </w:r>
      <w:r w:rsidR="005C58EA">
        <w:rPr>
          <w:rFonts w:hint="cs"/>
          <w:sz w:val="24"/>
          <w:rtl/>
        </w:rPr>
        <w:t xml:space="preserve">הנכס </w:t>
      </w:r>
      <w:r>
        <w:rPr>
          <w:rFonts w:hint="cs"/>
          <w:sz w:val="24"/>
          <w:rtl/>
        </w:rPr>
        <w:t xml:space="preserve">המושכר </w:t>
      </w:r>
      <w:r w:rsidR="00880D77">
        <w:rPr>
          <w:rFonts w:hint="cs"/>
          <w:sz w:val="24"/>
          <w:rtl/>
        </w:rPr>
        <w:t>מבלי</w:t>
      </w:r>
      <w:r w:rsidR="006C63BC">
        <w:rPr>
          <w:rFonts w:hint="cs"/>
          <w:sz w:val="24"/>
          <w:rtl/>
        </w:rPr>
        <w:t xml:space="preserve"> שניתנה להם שהות מספקת</w:t>
      </w:r>
      <w:r>
        <w:rPr>
          <w:rFonts w:hint="cs"/>
          <w:sz w:val="24"/>
          <w:rtl/>
        </w:rPr>
        <w:t xml:space="preserve"> ל</w:t>
      </w:r>
      <w:r w:rsidR="006C63BC">
        <w:rPr>
          <w:rFonts w:hint="cs"/>
          <w:sz w:val="24"/>
          <w:rtl/>
        </w:rPr>
        <w:t xml:space="preserve">שם </w:t>
      </w:r>
      <w:r>
        <w:rPr>
          <w:rFonts w:hint="cs"/>
          <w:sz w:val="24"/>
          <w:rtl/>
        </w:rPr>
        <w:t>מציאת דירה חלופית.</w:t>
      </w:r>
      <w:r>
        <w:rPr>
          <w:rStyle w:val="af0"/>
          <w:sz w:val="24"/>
          <w:rtl/>
        </w:rPr>
        <w:endnoteReference w:id="18"/>
      </w:r>
      <w:r>
        <w:rPr>
          <w:rFonts w:hint="cs"/>
          <w:sz w:val="24"/>
          <w:rtl/>
        </w:rPr>
        <w:t xml:space="preserve"> </w:t>
      </w:r>
      <w:r w:rsidR="006C63BC">
        <w:rPr>
          <w:rFonts w:hint="cs"/>
          <w:sz w:val="24"/>
          <w:rtl/>
        </w:rPr>
        <w:t>לאורך הדורות</w:t>
      </w:r>
      <w:r>
        <w:rPr>
          <w:rFonts w:hint="cs"/>
          <w:sz w:val="24"/>
          <w:rtl/>
        </w:rPr>
        <w:t xml:space="preserve"> היו חכמים </w:t>
      </w:r>
      <w:r w:rsidR="00880D77">
        <w:rPr>
          <w:rFonts w:hint="cs"/>
          <w:sz w:val="24"/>
          <w:rtl/>
        </w:rPr>
        <w:t xml:space="preserve">שתיקנו </w:t>
      </w:r>
      <w:r>
        <w:rPr>
          <w:rFonts w:hint="cs"/>
          <w:sz w:val="24"/>
          <w:rtl/>
        </w:rPr>
        <w:t xml:space="preserve">תקנות </w:t>
      </w:r>
      <w:r w:rsidR="00880D77">
        <w:rPr>
          <w:rFonts w:hint="cs"/>
          <w:sz w:val="24"/>
          <w:rtl/>
        </w:rPr>
        <w:t>חד</w:t>
      </w:r>
      <w:r w:rsidR="00880D77">
        <w:rPr>
          <w:rFonts w:hint="eastAsia"/>
          <w:sz w:val="24"/>
          <w:rtl/>
        </w:rPr>
        <w:t>־</w:t>
      </w:r>
      <w:r w:rsidR="00880D77">
        <w:rPr>
          <w:rFonts w:hint="cs"/>
          <w:sz w:val="24"/>
          <w:rtl/>
        </w:rPr>
        <w:t>פעמיות</w:t>
      </w:r>
      <w:r>
        <w:rPr>
          <w:rFonts w:hint="cs"/>
          <w:sz w:val="24"/>
          <w:rtl/>
        </w:rPr>
        <w:t xml:space="preserve"> שנועדו לרסן את התחרות </w:t>
      </w:r>
      <w:r w:rsidR="00880D77">
        <w:rPr>
          <w:rFonts w:hint="cs"/>
          <w:sz w:val="24"/>
          <w:rtl/>
        </w:rPr>
        <w:t xml:space="preserve">בשוק השכירות </w:t>
      </w:r>
      <w:r>
        <w:rPr>
          <w:rFonts w:hint="cs"/>
          <w:sz w:val="24"/>
          <w:rtl/>
        </w:rPr>
        <w:t>ולבלום את עליית המחירים</w:t>
      </w:r>
      <w:r w:rsidR="00880D77">
        <w:rPr>
          <w:rFonts w:hint="cs"/>
          <w:sz w:val="24"/>
          <w:rtl/>
        </w:rPr>
        <w:t xml:space="preserve"> בתחום זה;</w:t>
      </w:r>
      <w:r w:rsidR="00880D77">
        <w:rPr>
          <w:rStyle w:val="af0"/>
          <w:sz w:val="24"/>
          <w:rtl/>
        </w:rPr>
        <w:endnoteReference w:id="19"/>
      </w:r>
      <w:r w:rsidR="00880D77">
        <w:rPr>
          <w:rFonts w:hint="cs"/>
          <w:sz w:val="24"/>
          <w:rtl/>
        </w:rPr>
        <w:t xml:space="preserve"> </w:t>
      </w:r>
      <w:r w:rsidR="006C63BC">
        <w:rPr>
          <w:rFonts w:hint="cs"/>
          <w:sz w:val="24"/>
          <w:rtl/>
        </w:rPr>
        <w:t>ו</w:t>
      </w:r>
      <w:r>
        <w:rPr>
          <w:rFonts w:hint="cs"/>
          <w:sz w:val="24"/>
          <w:rtl/>
        </w:rPr>
        <w:t>במקרים מסוימים וקיצוניים, אף הות</w:t>
      </w:r>
      <w:r w:rsidR="006C63BC">
        <w:rPr>
          <w:rFonts w:hint="cs"/>
          <w:sz w:val="24"/>
          <w:rtl/>
        </w:rPr>
        <w:t>ר לבני העיר לסרב לקלוט תושב חדש</w:t>
      </w:r>
      <w:r>
        <w:rPr>
          <w:rFonts w:hint="cs"/>
          <w:sz w:val="24"/>
          <w:rtl/>
        </w:rPr>
        <w:t xml:space="preserve"> בשל הטענה כי הוא "מייקר שכירות הבתים"</w:t>
      </w:r>
      <w:r w:rsidR="00C44069">
        <w:rPr>
          <w:rFonts w:hint="cs"/>
          <w:sz w:val="24"/>
          <w:rtl/>
        </w:rPr>
        <w:t xml:space="preserve"> (</w:t>
      </w:r>
      <w:r w:rsidR="00C44069">
        <w:rPr>
          <w:rFonts w:hint="cs"/>
          <w:rtl/>
        </w:rPr>
        <w:t xml:space="preserve">מרדכי, בבא </w:t>
      </w:r>
      <w:proofErr w:type="spellStart"/>
      <w:r w:rsidR="00C44069">
        <w:rPr>
          <w:rFonts w:hint="cs"/>
          <w:rtl/>
        </w:rPr>
        <w:t>בתרא</w:t>
      </w:r>
      <w:proofErr w:type="spellEnd"/>
      <w:r w:rsidR="00C44069">
        <w:rPr>
          <w:rFonts w:hint="cs"/>
          <w:rtl/>
        </w:rPr>
        <w:t>, אות תקנב)</w:t>
      </w:r>
      <w:r>
        <w:rPr>
          <w:rFonts w:hint="cs"/>
          <w:sz w:val="24"/>
          <w:rtl/>
        </w:rPr>
        <w:t>.</w:t>
      </w:r>
    </w:p>
    <w:p w14:paraId="52CA6346" w14:textId="415A6172" w:rsidR="00417B56" w:rsidRDefault="00417B56" w:rsidP="006C63BC">
      <w:pPr>
        <w:rPr>
          <w:b/>
          <w:bCs/>
          <w:sz w:val="24"/>
        </w:rPr>
      </w:pPr>
      <w:r>
        <w:rPr>
          <w:rFonts w:hint="cs"/>
          <w:b/>
          <w:bCs/>
          <w:sz w:val="24"/>
          <w:rtl/>
        </w:rPr>
        <w:t xml:space="preserve">7. </w:t>
      </w:r>
      <w:r w:rsidR="00880D77">
        <w:rPr>
          <w:rFonts w:hint="cs"/>
          <w:b/>
          <w:bCs/>
          <w:sz w:val="24"/>
          <w:rtl/>
        </w:rPr>
        <w:t>התחייבויות בינ</w:t>
      </w:r>
      <w:r>
        <w:rPr>
          <w:rFonts w:hint="cs"/>
          <w:b/>
          <w:bCs/>
          <w:sz w:val="24"/>
          <w:rtl/>
        </w:rPr>
        <w:t xml:space="preserve">לאומיות. </w:t>
      </w:r>
      <w:r>
        <w:rPr>
          <w:rFonts w:hint="cs"/>
          <w:sz w:val="24"/>
          <w:rtl/>
        </w:rPr>
        <w:t>הזכות לדיור נאות (</w:t>
      </w:r>
      <w:r w:rsidRPr="001A425E">
        <w:rPr>
          <w:sz w:val="24"/>
        </w:rPr>
        <w:t>adequate</w:t>
      </w:r>
      <w:r>
        <w:rPr>
          <w:sz w:val="24"/>
        </w:rPr>
        <w:t xml:space="preserve"> housing</w:t>
      </w:r>
      <w:r>
        <w:rPr>
          <w:rFonts w:hint="cs"/>
          <w:sz w:val="24"/>
          <w:rtl/>
        </w:rPr>
        <w:t>) מוכרת במשפט הבינלאומי: היא עוגנה בהכרזה לכל באי עולם בדבר זכויות האדם</w:t>
      </w:r>
      <w:r w:rsidR="006C63BC">
        <w:rPr>
          <w:rFonts w:hint="cs"/>
          <w:sz w:val="24"/>
          <w:rtl/>
        </w:rPr>
        <w:t xml:space="preserve"> (סעיף 25)</w:t>
      </w:r>
      <w:r>
        <w:rPr>
          <w:rFonts w:hint="cs"/>
          <w:sz w:val="24"/>
          <w:rtl/>
        </w:rPr>
        <w:t>, ופותחה והורחבה באמנה הבינלאומית בדבר זכויות כלכליות, חברתיות ותרבותיות</w:t>
      </w:r>
      <w:r w:rsidR="006C63BC">
        <w:rPr>
          <w:rFonts w:hint="cs"/>
          <w:sz w:val="24"/>
          <w:rtl/>
        </w:rPr>
        <w:t xml:space="preserve"> (סעיף 11)</w:t>
      </w:r>
      <w:r>
        <w:rPr>
          <w:rFonts w:hint="cs"/>
          <w:sz w:val="24"/>
          <w:rtl/>
        </w:rPr>
        <w:t>. מדינת ישראל ק</w:t>
      </w:r>
      <w:r w:rsidR="00880D77">
        <w:rPr>
          <w:rFonts w:hint="cs"/>
          <w:sz w:val="24"/>
          <w:rtl/>
        </w:rPr>
        <w:t>י</w:t>
      </w:r>
      <w:r>
        <w:rPr>
          <w:rFonts w:hint="cs"/>
          <w:sz w:val="24"/>
          <w:rtl/>
        </w:rPr>
        <w:t xml:space="preserve">בלה על עצמה אמנה זו, ולדעת פוסקים רבים </w:t>
      </w:r>
      <w:r w:rsidR="006C63BC">
        <w:rPr>
          <w:rFonts w:hint="cs"/>
          <w:sz w:val="24"/>
          <w:rtl/>
        </w:rPr>
        <w:t xml:space="preserve">ישנה חובה הלכתית </w:t>
      </w:r>
      <w:r>
        <w:rPr>
          <w:rFonts w:hint="cs"/>
          <w:sz w:val="24"/>
          <w:rtl/>
        </w:rPr>
        <w:t>לקיים התחייבויות בינלאומיות ש</w:t>
      </w:r>
      <w:r w:rsidR="006C63BC">
        <w:rPr>
          <w:rFonts w:hint="cs"/>
          <w:sz w:val="24"/>
          <w:rtl/>
        </w:rPr>
        <w:t xml:space="preserve">עם ישראל נטל </w:t>
      </w:r>
      <w:r>
        <w:rPr>
          <w:rFonts w:hint="cs"/>
          <w:sz w:val="24"/>
          <w:rtl/>
        </w:rPr>
        <w:t>על עצמו, אף אם אין להן שורש בהלכה עצמה.</w:t>
      </w:r>
      <w:r>
        <w:rPr>
          <w:rStyle w:val="af0"/>
          <w:sz w:val="24"/>
          <w:rtl/>
        </w:rPr>
        <w:endnoteReference w:id="20"/>
      </w:r>
    </w:p>
    <w:p w14:paraId="0E450143" w14:textId="6D4EDD1B" w:rsidR="00417B56" w:rsidRDefault="00417B56" w:rsidP="00C44069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8. יישוב ארץ ישראל</w:t>
      </w:r>
      <w:r w:rsidRPr="0007256A">
        <w:rPr>
          <w:rFonts w:hint="cs"/>
          <w:b/>
          <w:bCs/>
          <w:sz w:val="24"/>
          <w:rtl/>
        </w:rPr>
        <w:t xml:space="preserve"> </w:t>
      </w:r>
      <w:r>
        <w:rPr>
          <w:b/>
          <w:bCs/>
          <w:sz w:val="24"/>
          <w:rtl/>
        </w:rPr>
        <w:t>–</w:t>
      </w:r>
      <w:r>
        <w:rPr>
          <w:rFonts w:hint="cs"/>
          <w:b/>
          <w:bCs/>
          <w:sz w:val="24"/>
          <w:rtl/>
        </w:rPr>
        <w:t xml:space="preserve"> </w:t>
      </w:r>
      <w:r w:rsidRPr="0007256A">
        <w:rPr>
          <w:rFonts w:hint="cs"/>
          <w:sz w:val="24"/>
          <w:rtl/>
        </w:rPr>
        <w:t>לבסוף, נראה ש</w:t>
      </w:r>
      <w:r w:rsidR="00757DD0">
        <w:rPr>
          <w:rFonts w:hint="cs"/>
          <w:sz w:val="24"/>
          <w:rtl/>
        </w:rPr>
        <w:t>מציאות חיינו בארץ ישראל,</w:t>
      </w:r>
      <w:r w:rsidRPr="0007256A">
        <w:rPr>
          <w:rFonts w:hint="cs"/>
          <w:sz w:val="24"/>
          <w:rtl/>
        </w:rPr>
        <w:t xml:space="preserve"> </w:t>
      </w:r>
      <w:r w:rsidR="00757DD0">
        <w:rPr>
          <w:rFonts w:hint="cs"/>
          <w:sz w:val="24"/>
          <w:rtl/>
        </w:rPr>
        <w:t>כחלק מ</w:t>
      </w:r>
      <w:r w:rsidRPr="0007256A">
        <w:rPr>
          <w:rFonts w:hint="cs"/>
          <w:sz w:val="24"/>
          <w:rtl/>
        </w:rPr>
        <w:t xml:space="preserve">שיבת ציון </w:t>
      </w:r>
      <w:r w:rsidR="00757DD0">
        <w:rPr>
          <w:rFonts w:hint="cs"/>
          <w:sz w:val="24"/>
          <w:rtl/>
        </w:rPr>
        <w:t>החדשה, מעניקה ממד נוסף למחויבות</w:t>
      </w:r>
      <w:r w:rsidRPr="0007256A">
        <w:rPr>
          <w:rFonts w:hint="cs"/>
          <w:sz w:val="24"/>
          <w:rtl/>
        </w:rPr>
        <w:t xml:space="preserve"> הציבורית ב</w:t>
      </w:r>
      <w:r w:rsidR="00757DD0">
        <w:rPr>
          <w:rFonts w:hint="cs"/>
          <w:sz w:val="24"/>
          <w:rtl/>
        </w:rPr>
        <w:t xml:space="preserve">עניין </w:t>
      </w:r>
      <w:r w:rsidRPr="0007256A">
        <w:rPr>
          <w:rFonts w:hint="cs"/>
          <w:sz w:val="24"/>
          <w:rtl/>
        </w:rPr>
        <w:t xml:space="preserve">הדיור והמגורים. </w:t>
      </w:r>
      <w:r w:rsidR="00757DD0">
        <w:rPr>
          <w:rFonts w:hint="cs"/>
          <w:sz w:val="24"/>
          <w:rtl/>
        </w:rPr>
        <w:t>מ</w:t>
      </w:r>
      <w:r>
        <w:rPr>
          <w:rFonts w:hint="cs"/>
          <w:sz w:val="24"/>
          <w:rtl/>
        </w:rPr>
        <w:t xml:space="preserve">מד זה </w:t>
      </w:r>
      <w:r w:rsidR="00757DD0">
        <w:rPr>
          <w:rFonts w:hint="cs"/>
          <w:sz w:val="24"/>
          <w:rtl/>
        </w:rPr>
        <w:t xml:space="preserve">אינו </w:t>
      </w:r>
      <w:r>
        <w:rPr>
          <w:rFonts w:hint="cs"/>
          <w:sz w:val="24"/>
          <w:rtl/>
        </w:rPr>
        <w:t xml:space="preserve">מתייחס למחויבותנו כלפי האדם, אלא </w:t>
      </w:r>
      <w:r w:rsidR="00757DD0">
        <w:rPr>
          <w:rFonts w:hint="cs"/>
          <w:sz w:val="24"/>
          <w:rtl/>
        </w:rPr>
        <w:t>למחויבותנו ל</w:t>
      </w:r>
      <w:r>
        <w:rPr>
          <w:rFonts w:hint="cs"/>
          <w:sz w:val="24"/>
          <w:rtl/>
        </w:rPr>
        <w:t>ארץ ו</w:t>
      </w:r>
      <w:r w:rsidR="00757DD0">
        <w:rPr>
          <w:rFonts w:hint="cs"/>
          <w:sz w:val="24"/>
          <w:rtl/>
        </w:rPr>
        <w:t>ל</w:t>
      </w:r>
      <w:r>
        <w:rPr>
          <w:rFonts w:hint="cs"/>
          <w:sz w:val="24"/>
          <w:rtl/>
        </w:rPr>
        <w:t>בניינה</w:t>
      </w:r>
      <w:r w:rsidR="00757DD0">
        <w:rPr>
          <w:rFonts w:hint="cs"/>
          <w:sz w:val="24"/>
          <w:rtl/>
        </w:rPr>
        <w:t>,</w:t>
      </w:r>
      <w:r>
        <w:rPr>
          <w:rFonts w:hint="cs"/>
          <w:sz w:val="24"/>
          <w:rtl/>
        </w:rPr>
        <w:t xml:space="preserve"> </w:t>
      </w:r>
      <w:r w:rsidR="00C44069">
        <w:rPr>
          <w:rFonts w:hint="cs"/>
          <w:sz w:val="24"/>
          <w:rtl/>
        </w:rPr>
        <w:t>ה</w:t>
      </w:r>
      <w:r>
        <w:rPr>
          <w:rFonts w:hint="cs"/>
          <w:sz w:val="24"/>
          <w:rtl/>
        </w:rPr>
        <w:t>מתבטא במיוחד בהוספת בתים חדשים ו</w:t>
      </w:r>
      <w:r w:rsidR="00757DD0">
        <w:rPr>
          <w:rFonts w:hint="cs"/>
          <w:sz w:val="24"/>
          <w:rtl/>
        </w:rPr>
        <w:t>ב</w:t>
      </w:r>
      <w:r>
        <w:rPr>
          <w:rFonts w:hint="cs"/>
          <w:sz w:val="24"/>
          <w:rtl/>
        </w:rPr>
        <w:t>יישוב האדמה.</w:t>
      </w:r>
      <w:r>
        <w:rPr>
          <w:rStyle w:val="af0"/>
          <w:sz w:val="24"/>
          <w:rtl/>
        </w:rPr>
        <w:endnoteReference w:id="21"/>
      </w:r>
      <w:r>
        <w:rPr>
          <w:rFonts w:hint="cs"/>
          <w:sz w:val="24"/>
          <w:rtl/>
        </w:rPr>
        <w:t xml:space="preserve"> עכשיו שנתקיימה בנו נבואתו של ישעיהו</w:t>
      </w:r>
      <w:r w:rsidR="00880D77">
        <w:rPr>
          <w:rFonts w:hint="cs"/>
          <w:sz w:val="24"/>
          <w:rtl/>
        </w:rPr>
        <w:t xml:space="preserve"> (מ</w:t>
      </w:r>
      <w:r>
        <w:rPr>
          <w:rFonts w:hint="cs"/>
          <w:sz w:val="24"/>
          <w:rtl/>
        </w:rPr>
        <w:t>ט, כ): "</w:t>
      </w:r>
      <w:r w:rsidRPr="002B3D6B">
        <w:rPr>
          <w:sz w:val="24"/>
          <w:rtl/>
        </w:rPr>
        <w:t xml:space="preserve">עוד יאמרו </w:t>
      </w:r>
      <w:proofErr w:type="spellStart"/>
      <w:r w:rsidRPr="002B3D6B">
        <w:rPr>
          <w:sz w:val="24"/>
          <w:rtl/>
        </w:rPr>
        <w:t>באזניך</w:t>
      </w:r>
      <w:proofErr w:type="spellEnd"/>
      <w:r w:rsidRPr="002B3D6B">
        <w:rPr>
          <w:sz w:val="24"/>
          <w:rtl/>
        </w:rPr>
        <w:t xml:space="preserve"> </w:t>
      </w:r>
      <w:r w:rsidR="00757DD0" w:rsidRPr="00757DD0">
        <w:rPr>
          <w:sz w:val="24"/>
          <w:rtl/>
        </w:rPr>
        <w:t>בְּנֵי שִׁכֻּלָיִךְ</w:t>
      </w:r>
      <w:r w:rsidRPr="002B3D6B">
        <w:rPr>
          <w:sz w:val="24"/>
          <w:rtl/>
        </w:rPr>
        <w:t xml:space="preserve"> צ</w:t>
      </w:r>
      <w:r w:rsidR="00757DD0">
        <w:rPr>
          <w:rFonts w:hint="cs"/>
          <w:sz w:val="24"/>
          <w:rtl/>
        </w:rPr>
        <w:t>ַ</w:t>
      </w:r>
      <w:r w:rsidRPr="002B3D6B">
        <w:rPr>
          <w:sz w:val="24"/>
          <w:rtl/>
        </w:rPr>
        <w:t>ר לי המקום גשה לי וא</w:t>
      </w:r>
      <w:r w:rsidR="00757DD0">
        <w:rPr>
          <w:rFonts w:hint="cs"/>
          <w:sz w:val="24"/>
          <w:rtl/>
        </w:rPr>
        <w:t>ֵ</w:t>
      </w:r>
      <w:r w:rsidRPr="002B3D6B">
        <w:rPr>
          <w:sz w:val="24"/>
          <w:rtl/>
        </w:rPr>
        <w:t>ש</w:t>
      </w:r>
      <w:r w:rsidR="00757DD0">
        <w:rPr>
          <w:rFonts w:hint="cs"/>
          <w:sz w:val="24"/>
          <w:rtl/>
        </w:rPr>
        <w:t>ֵׁ</w:t>
      </w:r>
      <w:r w:rsidRPr="002B3D6B">
        <w:rPr>
          <w:sz w:val="24"/>
          <w:rtl/>
        </w:rPr>
        <w:t>ב</w:t>
      </w:r>
      <w:r w:rsidR="00757DD0">
        <w:rPr>
          <w:rFonts w:hint="cs"/>
          <w:sz w:val="24"/>
          <w:rtl/>
        </w:rPr>
        <w:t>ָ</w:t>
      </w:r>
      <w:r w:rsidRPr="002B3D6B">
        <w:rPr>
          <w:sz w:val="24"/>
          <w:rtl/>
        </w:rPr>
        <w:t>ה</w:t>
      </w:r>
      <w:r>
        <w:rPr>
          <w:rFonts w:hint="cs"/>
          <w:sz w:val="24"/>
          <w:rtl/>
        </w:rPr>
        <w:t>", בידוע שתתקיים בנו נבואתו של יחזקאל</w:t>
      </w:r>
      <w:r w:rsidR="00880D77">
        <w:rPr>
          <w:rFonts w:hint="cs"/>
          <w:sz w:val="24"/>
          <w:rtl/>
        </w:rPr>
        <w:t xml:space="preserve"> (ל</w:t>
      </w:r>
      <w:r>
        <w:rPr>
          <w:rFonts w:hint="cs"/>
          <w:sz w:val="24"/>
          <w:rtl/>
        </w:rPr>
        <w:t>ו, לג): "</w:t>
      </w:r>
      <w:r w:rsidRPr="002B3D6B">
        <w:rPr>
          <w:sz w:val="24"/>
          <w:rtl/>
        </w:rPr>
        <w:t>כה אמר ה</w:t>
      </w:r>
      <w:r>
        <w:rPr>
          <w:rFonts w:hint="cs"/>
          <w:sz w:val="24"/>
          <w:rtl/>
        </w:rPr>
        <w:t xml:space="preserve">' </w:t>
      </w:r>
      <w:proofErr w:type="spellStart"/>
      <w:r>
        <w:rPr>
          <w:rFonts w:hint="cs"/>
          <w:sz w:val="24"/>
          <w:rtl/>
        </w:rPr>
        <w:t>א</w:t>
      </w:r>
      <w:r w:rsidR="00757DD0">
        <w:rPr>
          <w:rFonts w:hint="eastAsia"/>
          <w:sz w:val="24"/>
          <w:rtl/>
        </w:rPr>
        <w:t>־</w:t>
      </w:r>
      <w:r>
        <w:rPr>
          <w:rFonts w:hint="cs"/>
          <w:sz w:val="24"/>
          <w:rtl/>
        </w:rPr>
        <w:t>להים</w:t>
      </w:r>
      <w:proofErr w:type="spellEnd"/>
      <w:r w:rsidRPr="002B3D6B">
        <w:rPr>
          <w:sz w:val="24"/>
          <w:rtl/>
        </w:rPr>
        <w:t xml:space="preserve"> ביום טהרי אתכם מכל עונותיכם והושבתי את הערים ונבנו החרבות</w:t>
      </w:r>
      <w:r>
        <w:rPr>
          <w:rFonts w:hint="cs"/>
          <w:sz w:val="24"/>
          <w:rtl/>
        </w:rPr>
        <w:t>"</w:t>
      </w:r>
      <w:r w:rsidR="00757DD0">
        <w:rPr>
          <w:rFonts w:hint="cs"/>
          <w:sz w:val="24"/>
          <w:rtl/>
        </w:rPr>
        <w:t>.</w:t>
      </w:r>
    </w:p>
    <w:p w14:paraId="79F001A3" w14:textId="50E27ABD" w:rsidR="00B67482" w:rsidRPr="00E855AE" w:rsidRDefault="00417B56" w:rsidP="00757DD0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לאור האמור, מוטלת על הציבור חובה לוודא </w:t>
      </w:r>
      <w:r>
        <w:rPr>
          <w:b/>
          <w:bCs/>
          <w:sz w:val="24"/>
          <w:rtl/>
        </w:rPr>
        <w:t>–</w:t>
      </w:r>
      <w:r>
        <w:rPr>
          <w:rFonts w:hint="cs"/>
          <w:b/>
          <w:bCs/>
          <w:sz w:val="24"/>
          <w:rtl/>
        </w:rPr>
        <w:t xml:space="preserve"> כמידת יכולתו </w:t>
      </w:r>
      <w:r>
        <w:rPr>
          <w:b/>
          <w:bCs/>
          <w:sz w:val="24"/>
          <w:rtl/>
        </w:rPr>
        <w:t>–</w:t>
      </w:r>
      <w:r>
        <w:rPr>
          <w:rFonts w:hint="cs"/>
          <w:b/>
          <w:bCs/>
          <w:sz w:val="24"/>
          <w:rtl/>
        </w:rPr>
        <w:t xml:space="preserve"> אפשרות של דיור ראוי, לכל הפחות בשכירות, לכלל האוכלוסייה, וזאת באמצעות המדיניות היעילה ביותר כפי שת</w:t>
      </w:r>
      <w:r w:rsidR="00757DD0">
        <w:rPr>
          <w:rFonts w:hint="cs"/>
          <w:b/>
          <w:bCs/>
          <w:sz w:val="24"/>
          <w:rtl/>
        </w:rPr>
        <w:t>י</w:t>
      </w:r>
      <w:r>
        <w:rPr>
          <w:rFonts w:hint="cs"/>
          <w:b/>
          <w:bCs/>
          <w:sz w:val="24"/>
          <w:rtl/>
        </w:rPr>
        <w:t>קבע על ידי מנהיגי הציבור.</w:t>
      </w:r>
    </w:p>
    <w:sectPr w:rsidR="00B67482" w:rsidRPr="00E855AE" w:rsidSect="00FB3DA8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2127" w:right="1080" w:bottom="1276" w:left="1080" w:header="851" w:footer="23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2141E" w14:textId="77777777" w:rsidR="002F25D8" w:rsidRDefault="002F25D8">
      <w:r>
        <w:separator/>
      </w:r>
    </w:p>
  </w:endnote>
  <w:endnote w:type="continuationSeparator" w:id="0">
    <w:p w14:paraId="21A5D047" w14:textId="77777777" w:rsidR="002F25D8" w:rsidRDefault="002F25D8">
      <w:r>
        <w:continuationSeparator/>
      </w:r>
    </w:p>
  </w:endnote>
  <w:endnote w:id="1">
    <w:p w14:paraId="6ECCAFC6" w14:textId="6A2ABBB9" w:rsidR="00417B56" w:rsidRDefault="00417B56" w:rsidP="00417B56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ראו אנציקלופדיה מקראית, ערך </w:t>
      </w:r>
      <w:r w:rsidR="00880D77">
        <w:rPr>
          <w:rFonts w:hint="cs"/>
          <w:rtl/>
        </w:rPr>
        <w:t>'</w:t>
      </w:r>
      <w:r>
        <w:rPr>
          <w:rFonts w:hint="cs"/>
          <w:rtl/>
        </w:rPr>
        <w:t>בית</w:t>
      </w:r>
      <w:r w:rsidR="00880D77">
        <w:rPr>
          <w:rFonts w:hint="cs"/>
          <w:rtl/>
        </w:rPr>
        <w:t>'</w:t>
      </w:r>
      <w:r>
        <w:rPr>
          <w:rFonts w:hint="cs"/>
          <w:rtl/>
        </w:rPr>
        <w:t>.</w:t>
      </w:r>
    </w:p>
  </w:endnote>
  <w:endnote w:id="2">
    <w:p w14:paraId="3D803C96" w14:textId="455E495B" w:rsidR="00417B56" w:rsidRDefault="00417B56" w:rsidP="00880D77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880D77">
        <w:rPr>
          <w:rFonts w:hint="cs"/>
          <w:rtl/>
        </w:rPr>
        <w:t>ראו</w:t>
      </w:r>
      <w:r>
        <w:rPr>
          <w:rFonts w:hint="cs"/>
          <w:rtl/>
        </w:rPr>
        <w:t xml:space="preserve"> בראשית 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 xml:space="preserve">, </w:t>
      </w:r>
      <w:r w:rsidR="00880D77">
        <w:rPr>
          <w:rFonts w:hint="cs"/>
          <w:rtl/>
        </w:rPr>
        <w:t xml:space="preserve">לגבי </w:t>
      </w:r>
      <w:r>
        <w:rPr>
          <w:rFonts w:hint="cs"/>
          <w:rtl/>
        </w:rPr>
        <w:t>מידת הכנסת האורחים של אברהם אבינו, אבי האומה הישראלית. ב</w:t>
      </w:r>
      <w:r w:rsidR="00880D77">
        <w:rPr>
          <w:rFonts w:hint="cs"/>
          <w:rtl/>
        </w:rPr>
        <w:t>תלמוד הבבלי (שבת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קכז</w:t>
      </w:r>
      <w:proofErr w:type="spellEnd"/>
      <w:r>
        <w:rPr>
          <w:rFonts w:hint="cs"/>
          <w:rtl/>
        </w:rPr>
        <w:t xml:space="preserve"> ע"א</w:t>
      </w:r>
      <w:r w:rsidR="00880D77">
        <w:rPr>
          <w:rFonts w:hint="cs"/>
          <w:rtl/>
        </w:rPr>
        <w:t>)</w:t>
      </w:r>
      <w:r>
        <w:rPr>
          <w:rFonts w:hint="cs"/>
          <w:rtl/>
        </w:rPr>
        <w:t xml:space="preserve"> למד </w:t>
      </w:r>
      <w:r w:rsidR="00880D77">
        <w:rPr>
          <w:rFonts w:hint="cs"/>
          <w:rtl/>
        </w:rPr>
        <w:t xml:space="preserve">האמורא </w:t>
      </w:r>
      <w:r w:rsidRPr="00D378EB">
        <w:rPr>
          <w:rtl/>
        </w:rPr>
        <w:t>רב</w:t>
      </w:r>
      <w:r w:rsidR="00880D77">
        <w:rPr>
          <w:rFonts w:hint="cs"/>
          <w:rtl/>
        </w:rPr>
        <w:t xml:space="preserve"> ממעשיו של אברהם אבינו כי</w:t>
      </w:r>
      <w:r w:rsidRPr="00D378EB">
        <w:rPr>
          <w:rtl/>
        </w:rPr>
        <w:t xml:space="preserve"> </w:t>
      </w:r>
      <w:r>
        <w:rPr>
          <w:rFonts w:hint="cs"/>
          <w:rtl/>
        </w:rPr>
        <w:t>"</w:t>
      </w:r>
      <w:r w:rsidRPr="00D378EB">
        <w:rPr>
          <w:rtl/>
        </w:rPr>
        <w:t xml:space="preserve">גדולה הכנסת </w:t>
      </w:r>
      <w:proofErr w:type="spellStart"/>
      <w:r w:rsidRPr="00D378EB">
        <w:rPr>
          <w:rtl/>
        </w:rPr>
        <w:t>אורחין</w:t>
      </w:r>
      <w:proofErr w:type="spellEnd"/>
      <w:r w:rsidRPr="00D378EB">
        <w:rPr>
          <w:rtl/>
        </w:rPr>
        <w:t xml:space="preserve"> מהקבלת פני שכינה</w:t>
      </w:r>
      <w:r>
        <w:rPr>
          <w:rFonts w:hint="cs"/>
          <w:rtl/>
        </w:rPr>
        <w:t>".</w:t>
      </w:r>
    </w:p>
  </w:endnote>
  <w:endnote w:id="3">
    <w:p w14:paraId="7BA1117E" w14:textId="17C086DE" w:rsidR="00417B56" w:rsidRDefault="00417B56" w:rsidP="00417B56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757DD0">
        <w:rPr>
          <w:rFonts w:hint="cs"/>
          <w:rtl/>
        </w:rPr>
        <w:t xml:space="preserve">ראו </w:t>
      </w:r>
      <w:r>
        <w:rPr>
          <w:rFonts w:hint="cs"/>
          <w:rtl/>
        </w:rPr>
        <w:t>דברים כ, ה.</w:t>
      </w:r>
    </w:p>
  </w:endnote>
  <w:endnote w:id="4">
    <w:p w14:paraId="6D290828" w14:textId="6341321E" w:rsidR="00417B56" w:rsidRDefault="00417B56" w:rsidP="00C44069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CE53A5">
        <w:rPr>
          <w:rFonts w:hint="cs"/>
          <w:rtl/>
        </w:rPr>
        <w:t xml:space="preserve">ראו </w:t>
      </w:r>
      <w:r>
        <w:rPr>
          <w:rFonts w:hint="cs"/>
          <w:rtl/>
        </w:rPr>
        <w:t>ויקרא יד, לד</w:t>
      </w:r>
      <w:r>
        <w:rPr>
          <w:rtl/>
        </w:rPr>
        <w:t>–</w:t>
      </w:r>
      <w:proofErr w:type="spellStart"/>
      <w:r>
        <w:rPr>
          <w:rFonts w:hint="cs"/>
          <w:rtl/>
        </w:rPr>
        <w:t>נג</w:t>
      </w:r>
      <w:proofErr w:type="spellEnd"/>
      <w:r>
        <w:rPr>
          <w:rFonts w:hint="cs"/>
          <w:rtl/>
        </w:rPr>
        <w:t xml:space="preserve">. בעל ספר החינוך (מצווה </w:t>
      </w:r>
      <w:proofErr w:type="spellStart"/>
      <w:r>
        <w:rPr>
          <w:rFonts w:hint="cs"/>
          <w:rtl/>
        </w:rPr>
        <w:t>קעז</w:t>
      </w:r>
      <w:proofErr w:type="spellEnd"/>
      <w:r>
        <w:rPr>
          <w:rFonts w:hint="cs"/>
          <w:rtl/>
        </w:rPr>
        <w:t>)</w:t>
      </w:r>
      <w:r w:rsidR="00757DD0">
        <w:rPr>
          <w:rFonts w:hint="cs"/>
          <w:rtl/>
        </w:rPr>
        <w:t xml:space="preserve"> ה</w:t>
      </w:r>
      <w:r>
        <w:rPr>
          <w:rFonts w:hint="cs"/>
          <w:rtl/>
        </w:rPr>
        <w:t>סביר כי קודם ש</w:t>
      </w:r>
      <w:r w:rsidR="00C44069">
        <w:rPr>
          <w:rFonts w:hint="cs"/>
          <w:rtl/>
        </w:rPr>
        <w:t>באים</w:t>
      </w:r>
      <w:r>
        <w:rPr>
          <w:rFonts w:hint="cs"/>
          <w:rtl/>
        </w:rPr>
        <w:t xml:space="preserve"> הנגעי</w:t>
      </w:r>
      <w:r w:rsidR="00757DD0">
        <w:rPr>
          <w:rFonts w:hint="cs"/>
          <w:rtl/>
        </w:rPr>
        <w:t>ם על האדם עצמו, הם באים על ביתו.</w:t>
      </w:r>
      <w:r>
        <w:rPr>
          <w:rFonts w:hint="cs"/>
          <w:rtl/>
        </w:rPr>
        <w:t xml:space="preserve"> ראו גם משלי ג, לג.</w:t>
      </w:r>
    </w:p>
  </w:endnote>
  <w:endnote w:id="5">
    <w:p w14:paraId="5A2ACA42" w14:textId="117CFAD3" w:rsidR="00417B56" w:rsidRDefault="00417B56" w:rsidP="00417B56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CE53A5">
        <w:rPr>
          <w:rFonts w:hint="cs"/>
          <w:rtl/>
        </w:rPr>
        <w:t xml:space="preserve">ראו: </w:t>
      </w:r>
      <w:r>
        <w:rPr>
          <w:rFonts w:hint="cs"/>
          <w:rtl/>
        </w:rPr>
        <w:t>בראשית ד, יא</w:t>
      </w:r>
      <w:r>
        <w:rPr>
          <w:rtl/>
        </w:rPr>
        <w:t>–</w:t>
      </w:r>
      <w:proofErr w:type="spellStart"/>
      <w:r>
        <w:rPr>
          <w:rFonts w:hint="cs"/>
          <w:rtl/>
        </w:rPr>
        <w:t>יב</w:t>
      </w:r>
      <w:proofErr w:type="spellEnd"/>
      <w:r>
        <w:rPr>
          <w:rFonts w:hint="cs"/>
          <w:rtl/>
        </w:rPr>
        <w:t xml:space="preserve">; ויקרא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>, לג ובמקומות רבים נוספים.</w:t>
      </w:r>
    </w:p>
  </w:endnote>
  <w:endnote w:id="6">
    <w:p w14:paraId="369E3D30" w14:textId="2D748E80" w:rsidR="00417B56" w:rsidRDefault="00417B56" w:rsidP="00417B56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CE53A5">
        <w:rPr>
          <w:rFonts w:hint="cs"/>
          <w:rtl/>
        </w:rPr>
        <w:t xml:space="preserve">ראו: </w:t>
      </w:r>
      <w:r>
        <w:rPr>
          <w:rFonts w:hint="cs"/>
          <w:rtl/>
        </w:rPr>
        <w:t xml:space="preserve">ויקרא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>, לא; עזרא ו, יא ועוד.</w:t>
      </w:r>
    </w:p>
  </w:endnote>
  <w:endnote w:id="7">
    <w:p w14:paraId="023CF23F" w14:textId="1CDF2786" w:rsidR="00417B56" w:rsidRDefault="00417B56" w:rsidP="00D34804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D34804">
        <w:rPr>
          <w:rFonts w:hint="cs"/>
          <w:rtl/>
        </w:rPr>
        <w:t xml:space="preserve">שולחן ערוך, יורה </w:t>
      </w:r>
      <w:r>
        <w:rPr>
          <w:rFonts w:hint="cs"/>
          <w:rtl/>
        </w:rPr>
        <w:t>ד</w:t>
      </w:r>
      <w:r w:rsidR="00D34804">
        <w:rPr>
          <w:rFonts w:hint="cs"/>
          <w:rtl/>
        </w:rPr>
        <w:t>עה,</w:t>
      </w:r>
      <w:r>
        <w:rPr>
          <w:rFonts w:hint="cs"/>
          <w:rtl/>
        </w:rPr>
        <w:t xml:space="preserve"> סימן </w:t>
      </w:r>
      <w:proofErr w:type="spellStart"/>
      <w:r>
        <w:rPr>
          <w:rFonts w:hint="cs"/>
          <w:rtl/>
        </w:rPr>
        <w:t>רנ</w:t>
      </w:r>
      <w:proofErr w:type="spellEnd"/>
      <w:r w:rsidR="00D34804">
        <w:rPr>
          <w:rFonts w:hint="cs"/>
          <w:rtl/>
        </w:rPr>
        <w:t xml:space="preserve">, סעיף א. ראו גם </w:t>
      </w:r>
      <w:proofErr w:type="spellStart"/>
      <w:r w:rsidR="00D34804">
        <w:rPr>
          <w:rFonts w:hint="cs"/>
          <w:rtl/>
        </w:rPr>
        <w:t>ש"ך</w:t>
      </w:r>
      <w:proofErr w:type="spellEnd"/>
      <w:r w:rsidR="00D34804">
        <w:rPr>
          <w:rFonts w:hint="cs"/>
          <w:rtl/>
        </w:rPr>
        <w:t xml:space="preserve"> וב</w:t>
      </w:r>
      <w:r>
        <w:rPr>
          <w:rFonts w:hint="cs"/>
          <w:rtl/>
        </w:rPr>
        <w:t xml:space="preserve">יאור </w:t>
      </w:r>
      <w:proofErr w:type="spellStart"/>
      <w:r>
        <w:rPr>
          <w:rFonts w:hint="cs"/>
          <w:rtl/>
        </w:rPr>
        <w:t>הגר"א</w:t>
      </w:r>
      <w:proofErr w:type="spellEnd"/>
      <w:r>
        <w:rPr>
          <w:rFonts w:hint="cs"/>
          <w:rtl/>
        </w:rPr>
        <w:t xml:space="preserve"> </w:t>
      </w:r>
      <w:r w:rsidR="00D34804">
        <w:rPr>
          <w:rFonts w:hint="cs"/>
          <w:rtl/>
        </w:rPr>
        <w:t xml:space="preserve">על אתר שדנו </w:t>
      </w:r>
      <w:r>
        <w:rPr>
          <w:rFonts w:hint="cs"/>
          <w:rtl/>
        </w:rPr>
        <w:t xml:space="preserve">האם החובה מוטלת רק על הציבור או גם על יחידים שיש בידם לסייע </w:t>
      </w:r>
      <w:r w:rsidR="00D34804">
        <w:rPr>
          <w:rFonts w:hint="cs"/>
          <w:rtl/>
        </w:rPr>
        <w:t>בעניין זה</w:t>
      </w:r>
      <w:r>
        <w:rPr>
          <w:rFonts w:hint="cs"/>
          <w:rtl/>
        </w:rPr>
        <w:t xml:space="preserve"> ליחידים אחרים.</w:t>
      </w:r>
    </w:p>
  </w:endnote>
  <w:endnote w:id="8">
    <w:p w14:paraId="772607D7" w14:textId="12835E2E" w:rsidR="00417B56" w:rsidRDefault="00417B56" w:rsidP="00365364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365364">
        <w:rPr>
          <w:rFonts w:hint="cs"/>
          <w:rtl/>
        </w:rPr>
        <w:t>כך עולה מ</w:t>
      </w:r>
      <w:r>
        <w:rPr>
          <w:rFonts w:hint="cs"/>
          <w:rtl/>
        </w:rPr>
        <w:t>לשון הפוסקים שצוטטו לעיל</w:t>
      </w:r>
      <w:r w:rsidR="00365364">
        <w:rPr>
          <w:rFonts w:hint="cs"/>
          <w:rtl/>
        </w:rPr>
        <w:t xml:space="preserve">, וכך הסיק גם הרב שמואל </w:t>
      </w:r>
      <w:proofErr w:type="spellStart"/>
      <w:r w:rsidR="00365364">
        <w:rPr>
          <w:rFonts w:hint="cs"/>
          <w:rtl/>
        </w:rPr>
        <w:t>וואזנר</w:t>
      </w:r>
      <w:proofErr w:type="spellEnd"/>
      <w:r w:rsidR="00365364">
        <w:rPr>
          <w:rFonts w:hint="cs"/>
          <w:rtl/>
        </w:rPr>
        <w:t xml:space="preserve">, שו"ת </w:t>
      </w:r>
      <w:r>
        <w:rPr>
          <w:rFonts w:hint="cs"/>
          <w:rtl/>
        </w:rPr>
        <w:t>שבט הלוי, חלק ט</w:t>
      </w:r>
      <w:r w:rsidR="00365364">
        <w:rPr>
          <w:rFonts w:hint="cs"/>
          <w:rtl/>
        </w:rPr>
        <w:t>,</w:t>
      </w:r>
      <w:r>
        <w:rPr>
          <w:rFonts w:hint="cs"/>
          <w:rtl/>
        </w:rPr>
        <w:t xml:space="preserve"> סימן רב.</w:t>
      </w:r>
    </w:p>
  </w:endnote>
  <w:endnote w:id="9">
    <w:p w14:paraId="09C5976A" w14:textId="2D389E66" w:rsidR="00417B56" w:rsidRDefault="00417B56" w:rsidP="00C44069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365364">
        <w:rPr>
          <w:rFonts w:hint="cs"/>
          <w:rtl/>
        </w:rPr>
        <w:t>בהלכה מבואר כי</w:t>
      </w:r>
      <w:r>
        <w:rPr>
          <w:rFonts w:hint="cs"/>
          <w:rtl/>
        </w:rPr>
        <w:t xml:space="preserve"> מי שאין לו </w:t>
      </w:r>
      <w:r w:rsidR="00365364">
        <w:rPr>
          <w:rFonts w:hint="cs"/>
          <w:rtl/>
        </w:rPr>
        <w:t xml:space="preserve">ממון לעשות מחיצות בגינתו לשם סילוק היזק ראייה, יכול </w:t>
      </w:r>
      <w:r>
        <w:rPr>
          <w:rFonts w:hint="cs"/>
          <w:rtl/>
        </w:rPr>
        <w:t>לקחת</w:t>
      </w:r>
      <w:r w:rsidR="00365364">
        <w:rPr>
          <w:rFonts w:hint="cs"/>
          <w:rtl/>
        </w:rPr>
        <w:t xml:space="preserve"> כסף</w:t>
      </w:r>
      <w:r>
        <w:rPr>
          <w:rFonts w:hint="cs"/>
          <w:rtl/>
        </w:rPr>
        <w:t xml:space="preserve"> מן הצדקה</w:t>
      </w:r>
      <w:r w:rsidR="00C44069">
        <w:rPr>
          <w:rFonts w:hint="cs"/>
          <w:rtl/>
        </w:rPr>
        <w:t xml:space="preserve"> לשם כך</w:t>
      </w:r>
      <w:r>
        <w:rPr>
          <w:rFonts w:hint="cs"/>
          <w:rtl/>
        </w:rPr>
        <w:t xml:space="preserve">. </w:t>
      </w:r>
      <w:r w:rsidR="00365364">
        <w:rPr>
          <w:rFonts w:hint="cs"/>
          <w:rtl/>
        </w:rPr>
        <w:t>בעניין זה כתב הרב יחיאל מיכל אפשטיין כי "</w:t>
      </w:r>
      <w:r w:rsidRPr="00BC408C">
        <w:rPr>
          <w:rtl/>
        </w:rPr>
        <w:t xml:space="preserve">אין זה </w:t>
      </w:r>
      <w:proofErr w:type="spellStart"/>
      <w:r w:rsidRPr="00BC408C">
        <w:rPr>
          <w:rtl/>
        </w:rPr>
        <w:t>גזילה</w:t>
      </w:r>
      <w:proofErr w:type="spellEnd"/>
      <w:r w:rsidRPr="00BC408C">
        <w:rPr>
          <w:rtl/>
        </w:rPr>
        <w:t xml:space="preserve"> מהצדקה </w:t>
      </w:r>
      <w:proofErr w:type="spellStart"/>
      <w:r w:rsidRPr="00BC408C">
        <w:rPr>
          <w:rtl/>
        </w:rPr>
        <w:t>דעשיית</w:t>
      </w:r>
      <w:proofErr w:type="spellEnd"/>
      <w:r w:rsidRPr="00BC408C">
        <w:rPr>
          <w:rtl/>
        </w:rPr>
        <w:t xml:space="preserve"> מחיצה הוי הכרח ככל הכרחיות האדם ורשאים ליטול על זה מצדקה</w:t>
      </w:r>
      <w:r>
        <w:rPr>
          <w:rFonts w:hint="cs"/>
          <w:rtl/>
        </w:rPr>
        <w:t>"</w:t>
      </w:r>
      <w:r w:rsidR="00365364">
        <w:rPr>
          <w:rFonts w:hint="cs"/>
          <w:rtl/>
        </w:rPr>
        <w:t xml:space="preserve"> (ערוך השולחן, חושן משפט, סימן קנז, סעיף ג)</w:t>
      </w:r>
      <w:r>
        <w:rPr>
          <w:rFonts w:hint="cs"/>
          <w:rtl/>
        </w:rPr>
        <w:t>.</w:t>
      </w:r>
    </w:p>
  </w:endnote>
  <w:endnote w:id="10">
    <w:p w14:paraId="7C4E6212" w14:textId="142FD5D7" w:rsidR="00417B56" w:rsidRDefault="00417B56" w:rsidP="006C63BC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6C63BC">
        <w:rPr>
          <w:rFonts w:hint="cs"/>
          <w:rtl/>
        </w:rPr>
        <w:t xml:space="preserve">ראו שולחן ערוך, יורה דעה, סימן </w:t>
      </w:r>
      <w:proofErr w:type="spellStart"/>
      <w:r w:rsidR="006C63BC">
        <w:rPr>
          <w:rFonts w:hint="cs"/>
          <w:rtl/>
        </w:rPr>
        <w:t>רנ</w:t>
      </w:r>
      <w:proofErr w:type="spellEnd"/>
      <w:r w:rsidR="006C63BC">
        <w:rPr>
          <w:rFonts w:hint="cs"/>
          <w:rtl/>
        </w:rPr>
        <w:t>, סעיף א</w:t>
      </w:r>
      <w:r>
        <w:rPr>
          <w:rFonts w:hint="cs"/>
          <w:rtl/>
        </w:rPr>
        <w:t>.</w:t>
      </w:r>
    </w:p>
  </w:endnote>
  <w:endnote w:id="11">
    <w:p w14:paraId="66153EF4" w14:textId="0CA84CCB" w:rsidR="00417B56" w:rsidRDefault="00417B56" w:rsidP="00C44069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365364">
        <w:rPr>
          <w:rFonts w:hint="cs"/>
          <w:rtl/>
        </w:rPr>
        <w:t xml:space="preserve">זהו הדין בכל </w:t>
      </w:r>
      <w:r>
        <w:rPr>
          <w:rFonts w:hint="cs"/>
          <w:rtl/>
        </w:rPr>
        <w:t>ענייני צדקה שהחי</w:t>
      </w:r>
      <w:r w:rsidR="00365364">
        <w:rPr>
          <w:rFonts w:hint="cs"/>
          <w:rtl/>
        </w:rPr>
        <w:t xml:space="preserve">וב בהם הוא לפי המחסור 'אשר יחסר </w:t>
      </w:r>
      <w:r w:rsidRPr="00365364">
        <w:rPr>
          <w:rFonts w:hint="cs"/>
          <w:b/>
          <w:bCs/>
          <w:rtl/>
        </w:rPr>
        <w:t>לו</w:t>
      </w:r>
      <w:r>
        <w:rPr>
          <w:rFonts w:hint="cs"/>
          <w:rtl/>
        </w:rPr>
        <w:t>'</w:t>
      </w:r>
      <w:r w:rsidR="00365364">
        <w:rPr>
          <w:rFonts w:hint="cs"/>
          <w:rtl/>
        </w:rPr>
        <w:t xml:space="preserve"> </w:t>
      </w:r>
      <w:r w:rsidR="00365364">
        <w:rPr>
          <w:rtl/>
        </w:rPr>
        <w:t>–</w:t>
      </w:r>
      <w:r w:rsidR="00365364">
        <w:rPr>
          <w:rFonts w:hint="cs"/>
          <w:rtl/>
        </w:rPr>
        <w:t xml:space="preserve"> כלומר לפי צרכיו של העני. נראה</w:t>
      </w:r>
      <w:r>
        <w:rPr>
          <w:rFonts w:hint="cs"/>
          <w:rtl/>
        </w:rPr>
        <w:t xml:space="preserve"> שכאשר הצדקה </w:t>
      </w:r>
      <w:r w:rsidR="00365364">
        <w:rPr>
          <w:rFonts w:hint="cs"/>
          <w:rtl/>
        </w:rPr>
        <w:t xml:space="preserve">ניתנת </w:t>
      </w:r>
      <w:r>
        <w:rPr>
          <w:rFonts w:hint="cs"/>
          <w:rtl/>
        </w:rPr>
        <w:t xml:space="preserve">מיחיד ליחיד, יכול הנותן לאמוד את חסרונו </w:t>
      </w:r>
      <w:r w:rsidR="00365364">
        <w:rPr>
          <w:rFonts w:hint="cs"/>
          <w:rtl/>
        </w:rPr>
        <w:t xml:space="preserve">המדויק </w:t>
      </w:r>
      <w:r>
        <w:rPr>
          <w:rFonts w:hint="cs"/>
          <w:rtl/>
        </w:rPr>
        <w:t xml:space="preserve">של המקבל </w:t>
      </w:r>
      <w:r w:rsidR="00365364">
        <w:rPr>
          <w:rFonts w:hint="cs"/>
          <w:rtl/>
        </w:rPr>
        <w:t>ואת צרכיו,</w:t>
      </w:r>
      <w:r>
        <w:rPr>
          <w:rFonts w:hint="cs"/>
          <w:rtl/>
        </w:rPr>
        <w:t xml:space="preserve"> אך כאשר הצדקה </w:t>
      </w:r>
      <w:r w:rsidR="00365364">
        <w:rPr>
          <w:rFonts w:hint="cs"/>
          <w:rtl/>
        </w:rPr>
        <w:t>ניתנת</w:t>
      </w:r>
      <w:r>
        <w:rPr>
          <w:rFonts w:hint="cs"/>
          <w:rtl/>
        </w:rPr>
        <w:t xml:space="preserve"> מקופת הציבור, נק</w:t>
      </w:r>
      <w:r w:rsidR="00365364">
        <w:rPr>
          <w:rFonts w:hint="cs"/>
          <w:rtl/>
        </w:rPr>
        <w:t xml:space="preserve">בע החיוב על פי הנתונים הכלליים באותו </w:t>
      </w:r>
      <w:r>
        <w:rPr>
          <w:rFonts w:hint="cs"/>
          <w:rtl/>
        </w:rPr>
        <w:t xml:space="preserve">זמן. </w:t>
      </w:r>
    </w:p>
  </w:endnote>
  <w:endnote w:id="12">
    <w:p w14:paraId="581CFE91" w14:textId="2F96D273" w:rsidR="00417B56" w:rsidRDefault="00417B56" w:rsidP="00417B56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365364">
        <w:rPr>
          <w:rFonts w:hint="cs"/>
          <w:rtl/>
        </w:rPr>
        <w:t>ראו לשון הבבלי</w:t>
      </w:r>
      <w:r>
        <w:rPr>
          <w:rFonts w:hint="cs"/>
          <w:rtl/>
        </w:rPr>
        <w:t xml:space="preserve"> </w:t>
      </w:r>
      <w:r w:rsidR="00365364">
        <w:rPr>
          <w:rFonts w:hint="cs"/>
          <w:rtl/>
        </w:rPr>
        <w:t>(</w:t>
      </w:r>
      <w:r>
        <w:rPr>
          <w:rFonts w:hint="cs"/>
          <w:rtl/>
        </w:rPr>
        <w:t xml:space="preserve">כתובות </w:t>
      </w:r>
      <w:proofErr w:type="spellStart"/>
      <w:r>
        <w:rPr>
          <w:rFonts w:hint="cs"/>
          <w:rtl/>
        </w:rPr>
        <w:t>סז</w:t>
      </w:r>
      <w:proofErr w:type="spellEnd"/>
      <w:r>
        <w:rPr>
          <w:rFonts w:hint="cs"/>
          <w:rtl/>
        </w:rPr>
        <w:t xml:space="preserve"> ע"ב</w:t>
      </w:r>
      <w:r w:rsidR="00365364">
        <w:rPr>
          <w:rFonts w:hint="cs"/>
          <w:rtl/>
        </w:rPr>
        <w:t>)</w:t>
      </w:r>
      <w:r>
        <w:rPr>
          <w:rFonts w:hint="cs"/>
          <w:rtl/>
        </w:rPr>
        <w:t>: "</w:t>
      </w:r>
      <w:r w:rsidRPr="004C3728">
        <w:rPr>
          <w:rtl/>
        </w:rPr>
        <w:t>אתה מצווה עליו לפרנסו ואי אתה מצווה עליו לעשרו</w:t>
      </w:r>
      <w:r w:rsidR="00365364">
        <w:rPr>
          <w:rFonts w:hint="cs"/>
          <w:rtl/>
        </w:rPr>
        <w:t>". ר' מנחם ה</w:t>
      </w:r>
      <w:r>
        <w:rPr>
          <w:rFonts w:hint="cs"/>
          <w:rtl/>
        </w:rPr>
        <w:t xml:space="preserve">מאירי </w:t>
      </w:r>
      <w:r w:rsidR="00365364">
        <w:rPr>
          <w:rFonts w:hint="cs"/>
          <w:rtl/>
        </w:rPr>
        <w:t xml:space="preserve">כתב (בית הבחירה, </w:t>
      </w:r>
      <w:r>
        <w:rPr>
          <w:rFonts w:hint="cs"/>
          <w:rtl/>
        </w:rPr>
        <w:t>שם</w:t>
      </w:r>
      <w:r w:rsidR="00365364">
        <w:rPr>
          <w:rFonts w:hint="cs"/>
          <w:rtl/>
        </w:rPr>
        <w:t>)</w:t>
      </w:r>
      <w:r w:rsidR="00C44069">
        <w:rPr>
          <w:rFonts w:hint="cs"/>
          <w:rtl/>
        </w:rPr>
        <w:t xml:space="preserve"> </w:t>
      </w:r>
      <w:r w:rsidR="00365364">
        <w:rPr>
          <w:rFonts w:hint="cs"/>
          <w:rtl/>
        </w:rPr>
        <w:t>כי</w:t>
      </w:r>
      <w:r>
        <w:rPr>
          <w:rFonts w:hint="cs"/>
          <w:rtl/>
        </w:rPr>
        <w:t xml:space="preserve"> "</w:t>
      </w:r>
      <w:proofErr w:type="spellStart"/>
      <w:r w:rsidRPr="004C3728">
        <w:rPr>
          <w:rtl/>
        </w:rPr>
        <w:t>עושין</w:t>
      </w:r>
      <w:proofErr w:type="spellEnd"/>
      <w:r w:rsidRPr="004C3728">
        <w:rPr>
          <w:rtl/>
        </w:rPr>
        <w:t xml:space="preserve"> לו כל צרכו מן הצדקה בצמצום</w:t>
      </w:r>
      <w:r>
        <w:rPr>
          <w:rFonts w:hint="cs"/>
          <w:rtl/>
        </w:rPr>
        <w:t>,</w:t>
      </w:r>
      <w:r w:rsidRPr="004C3728">
        <w:rPr>
          <w:rtl/>
        </w:rPr>
        <w:t xml:space="preserve"> </w:t>
      </w:r>
      <w:proofErr w:type="spellStart"/>
      <w:r w:rsidRPr="004C3728">
        <w:rPr>
          <w:rtl/>
        </w:rPr>
        <w:t>שוכרין</w:t>
      </w:r>
      <w:proofErr w:type="spellEnd"/>
      <w:r w:rsidRPr="004C3728">
        <w:rPr>
          <w:rtl/>
        </w:rPr>
        <w:t xml:space="preserve"> לו בית </w:t>
      </w:r>
      <w:proofErr w:type="spellStart"/>
      <w:r w:rsidRPr="004C3728">
        <w:rPr>
          <w:rtl/>
        </w:rPr>
        <w:t>ומציעין</w:t>
      </w:r>
      <w:proofErr w:type="spellEnd"/>
      <w:r w:rsidRPr="004C3728">
        <w:rPr>
          <w:rtl/>
        </w:rPr>
        <w:t xml:space="preserve"> לו מטה וכלי תשמיש ואחר כך </w:t>
      </w:r>
      <w:proofErr w:type="spellStart"/>
      <w:r w:rsidRPr="004C3728">
        <w:rPr>
          <w:rtl/>
        </w:rPr>
        <w:t>משיאין</w:t>
      </w:r>
      <w:proofErr w:type="spellEnd"/>
      <w:r w:rsidRPr="004C3728">
        <w:rPr>
          <w:rtl/>
        </w:rPr>
        <w:t xml:space="preserve"> אותו </w:t>
      </w:r>
      <w:proofErr w:type="spellStart"/>
      <w:r w:rsidRPr="00365364">
        <w:rPr>
          <w:b/>
          <w:bCs/>
          <w:rtl/>
        </w:rPr>
        <w:t>וכ</w:t>
      </w:r>
      <w:proofErr w:type="spellEnd"/>
      <w:r w:rsidR="00365364">
        <w:rPr>
          <w:rFonts w:hint="cs"/>
          <w:b/>
          <w:bCs/>
          <w:rtl/>
        </w:rPr>
        <w:t>[ו]</w:t>
      </w:r>
      <w:proofErr w:type="spellStart"/>
      <w:r w:rsidRPr="00365364">
        <w:rPr>
          <w:b/>
          <w:bCs/>
          <w:rtl/>
        </w:rPr>
        <w:t>לם</w:t>
      </w:r>
      <w:proofErr w:type="spellEnd"/>
      <w:r w:rsidRPr="00365364">
        <w:rPr>
          <w:b/>
          <w:bCs/>
          <w:rtl/>
        </w:rPr>
        <w:t xml:space="preserve"> בצמצום גדול</w:t>
      </w:r>
      <w:r>
        <w:rPr>
          <w:rFonts w:hint="cs"/>
          <w:rtl/>
        </w:rPr>
        <w:t>".</w:t>
      </w:r>
    </w:p>
  </w:endnote>
  <w:endnote w:id="13">
    <w:p w14:paraId="6B5ED80A" w14:textId="6E519D9F" w:rsidR="00417B56" w:rsidRDefault="00417B56" w:rsidP="00365364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365364">
        <w:rPr>
          <w:rFonts w:hint="cs"/>
          <w:rtl/>
        </w:rPr>
        <w:t>דחייה זו מסתברת מן העובדה ש</w:t>
      </w:r>
      <w:r>
        <w:rPr>
          <w:rFonts w:hint="cs"/>
          <w:rtl/>
        </w:rPr>
        <w:t xml:space="preserve">אפילו מצוות </w:t>
      </w:r>
      <w:r w:rsidR="00365364">
        <w:rPr>
          <w:rFonts w:hint="cs"/>
          <w:rtl/>
        </w:rPr>
        <w:t xml:space="preserve">פדיון שבויים </w:t>
      </w:r>
      <w:r w:rsidR="00365364">
        <w:rPr>
          <w:rtl/>
        </w:rPr>
        <w:t>–</w:t>
      </w:r>
      <w:r w:rsidR="00365364">
        <w:rPr>
          <w:rFonts w:hint="cs"/>
          <w:rtl/>
        </w:rPr>
        <w:t xml:space="preserve"> ש</w:t>
      </w:r>
      <w:r>
        <w:rPr>
          <w:rFonts w:hint="cs"/>
          <w:rtl/>
        </w:rPr>
        <w:t xml:space="preserve">אותה רואה </w:t>
      </w:r>
      <w:r w:rsidR="00365364">
        <w:rPr>
          <w:rFonts w:hint="cs"/>
          <w:rtl/>
        </w:rPr>
        <w:t>ההלכה כאחת המצוות החשובות ביותר בתורה</w:t>
      </w:r>
      <w:r>
        <w:rPr>
          <w:rFonts w:hint="cs"/>
          <w:rtl/>
        </w:rPr>
        <w:t xml:space="preserve"> ו</w:t>
      </w:r>
      <w:r w:rsidR="00365364">
        <w:rPr>
          <w:rFonts w:hint="cs"/>
          <w:rtl/>
        </w:rPr>
        <w:t xml:space="preserve">היא </w:t>
      </w:r>
      <w:r>
        <w:rPr>
          <w:rFonts w:hint="cs"/>
          <w:rtl/>
        </w:rPr>
        <w:t>גובלת בפיקוח נפש</w:t>
      </w:r>
      <w:r w:rsidR="00365364">
        <w:rPr>
          <w:rFonts w:hint="cs"/>
          <w:rtl/>
        </w:rPr>
        <w:t xml:space="preserve"> של ממש</w:t>
      </w:r>
      <w:r>
        <w:rPr>
          <w:rFonts w:hint="cs"/>
          <w:rtl/>
        </w:rPr>
        <w:t xml:space="preserve"> </w:t>
      </w:r>
      <w:r w:rsidR="00757DD0">
        <w:rPr>
          <w:rtl/>
        </w:rPr>
        <w:t>–</w:t>
      </w:r>
      <w:r w:rsidR="00365364">
        <w:rPr>
          <w:rFonts w:hint="cs"/>
          <w:rtl/>
        </w:rPr>
        <w:t xml:space="preserve"> עשויה להידחות </w:t>
      </w:r>
      <w:r>
        <w:rPr>
          <w:rFonts w:hint="cs"/>
          <w:rtl/>
        </w:rPr>
        <w:t>מפני 'דוחק הציבור' (</w:t>
      </w:r>
      <w:r w:rsidR="00365364">
        <w:rPr>
          <w:rFonts w:hint="cs"/>
          <w:rtl/>
        </w:rPr>
        <w:t xml:space="preserve">בבלי, גיטין מה ע"א; </w:t>
      </w:r>
      <w:r>
        <w:rPr>
          <w:rFonts w:hint="cs"/>
          <w:rtl/>
        </w:rPr>
        <w:t>ים של שלמה</w:t>
      </w:r>
      <w:r w:rsidR="00365364">
        <w:rPr>
          <w:rFonts w:hint="cs"/>
          <w:rtl/>
        </w:rPr>
        <w:t>,</w:t>
      </w:r>
      <w:r>
        <w:rPr>
          <w:rFonts w:hint="cs"/>
          <w:rtl/>
        </w:rPr>
        <w:t xml:space="preserve"> שם). </w:t>
      </w:r>
    </w:p>
  </w:endnote>
  <w:endnote w:id="14">
    <w:p w14:paraId="3092EFE5" w14:textId="6A213A25" w:rsidR="00417B56" w:rsidRDefault="00417B56" w:rsidP="00757DD0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tl/>
        </w:rPr>
        <w:t>ב</w:t>
      </w:r>
      <w:r w:rsidR="00365364">
        <w:rPr>
          <w:rFonts w:hint="cs"/>
          <w:rtl/>
        </w:rPr>
        <w:t>בבלי</w:t>
      </w:r>
      <w:r>
        <w:rPr>
          <w:rtl/>
        </w:rPr>
        <w:t xml:space="preserve"> </w:t>
      </w:r>
      <w:r w:rsidR="00365364">
        <w:rPr>
          <w:rFonts w:hint="cs"/>
          <w:rtl/>
        </w:rPr>
        <w:t>(</w:t>
      </w:r>
      <w:r w:rsidR="00365364">
        <w:rPr>
          <w:rtl/>
        </w:rPr>
        <w:t xml:space="preserve">נדרים </w:t>
      </w:r>
      <w:r>
        <w:rPr>
          <w:rtl/>
        </w:rPr>
        <w:t xml:space="preserve">פ ע"ב) </w:t>
      </w:r>
      <w:r w:rsidR="00757DD0">
        <w:rPr>
          <w:rFonts w:hint="cs"/>
          <w:rtl/>
        </w:rPr>
        <w:t>הובאה מחלוקת תנאים בעניין</w:t>
      </w:r>
      <w:r w:rsidR="00757DD0">
        <w:rPr>
          <w:rtl/>
        </w:rPr>
        <w:t xml:space="preserve"> </w:t>
      </w:r>
      <w:r>
        <w:rPr>
          <w:rtl/>
        </w:rPr>
        <w:t xml:space="preserve">מעיין של בני העיר שבו </w:t>
      </w:r>
      <w:r w:rsidR="00757DD0">
        <w:rPr>
          <w:rFonts w:hint="cs"/>
          <w:rtl/>
        </w:rPr>
        <w:t xml:space="preserve">הם </w:t>
      </w:r>
      <w:r>
        <w:rPr>
          <w:rtl/>
        </w:rPr>
        <w:t xml:space="preserve">משתמשים </w:t>
      </w:r>
      <w:r w:rsidR="00757DD0">
        <w:rPr>
          <w:rtl/>
        </w:rPr>
        <w:t xml:space="preserve">לכביסה </w:t>
      </w:r>
      <w:r w:rsidR="00757DD0">
        <w:rPr>
          <w:rFonts w:hint="cs"/>
          <w:rtl/>
        </w:rPr>
        <w:t xml:space="preserve">אך </w:t>
      </w:r>
      <w:r>
        <w:rPr>
          <w:rtl/>
        </w:rPr>
        <w:t xml:space="preserve">אנשים מחוץ לעיר זקוקים </w:t>
      </w:r>
      <w:r w:rsidR="00757DD0">
        <w:rPr>
          <w:rFonts w:hint="cs"/>
          <w:rtl/>
        </w:rPr>
        <w:t>למימיו</w:t>
      </w:r>
      <w:r>
        <w:rPr>
          <w:rtl/>
        </w:rPr>
        <w:t xml:space="preserve"> </w:t>
      </w:r>
      <w:r w:rsidR="00757DD0">
        <w:rPr>
          <w:rFonts w:hint="cs"/>
          <w:rtl/>
        </w:rPr>
        <w:t xml:space="preserve">לשם </w:t>
      </w:r>
      <w:r>
        <w:rPr>
          <w:rtl/>
        </w:rPr>
        <w:t>שת</w:t>
      </w:r>
      <w:r w:rsidR="00757DD0">
        <w:rPr>
          <w:rFonts w:hint="cs"/>
          <w:rtl/>
        </w:rPr>
        <w:t>י</w:t>
      </w:r>
      <w:r w:rsidR="00757DD0">
        <w:rPr>
          <w:rtl/>
        </w:rPr>
        <w:t>יה</w:t>
      </w:r>
      <w:r w:rsidR="00757DD0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 xml:space="preserve">לדעת חכמים, </w:t>
      </w:r>
      <w:r w:rsidR="00757DD0">
        <w:rPr>
          <w:rFonts w:hint="cs"/>
          <w:rtl/>
        </w:rPr>
        <w:t>שתיית</w:t>
      </w:r>
      <w:r w:rsidR="00757DD0">
        <w:rPr>
          <w:rtl/>
        </w:rPr>
        <w:t xml:space="preserve"> אחרים קודמים לכביסת בני העיר</w:t>
      </w:r>
      <w:r w:rsidR="00757DD0">
        <w:rPr>
          <w:rFonts w:hint="cs"/>
          <w:rtl/>
        </w:rPr>
        <w:t>;</w:t>
      </w:r>
      <w:r>
        <w:rPr>
          <w:rtl/>
        </w:rPr>
        <w:t xml:space="preserve"> ואילו לדעת ר</w:t>
      </w:r>
      <w:r w:rsidR="00757DD0">
        <w:rPr>
          <w:rFonts w:hint="cs"/>
          <w:rtl/>
        </w:rPr>
        <w:t>'</w:t>
      </w:r>
      <w:r>
        <w:rPr>
          <w:rtl/>
        </w:rPr>
        <w:t xml:space="preserve"> יוסי</w:t>
      </w:r>
      <w:r w:rsidR="00757DD0">
        <w:rPr>
          <w:rFonts w:hint="cs"/>
          <w:rtl/>
        </w:rPr>
        <w:t>,</w:t>
      </w:r>
      <w:r>
        <w:rPr>
          <w:rtl/>
        </w:rPr>
        <w:t xml:space="preserve"> כביסת</w:t>
      </w:r>
      <w:r>
        <w:rPr>
          <w:rFonts w:hint="cs"/>
          <w:rtl/>
        </w:rPr>
        <w:t xml:space="preserve"> בני העיר</w:t>
      </w:r>
      <w:r>
        <w:rPr>
          <w:rtl/>
        </w:rPr>
        <w:t xml:space="preserve"> קודמת ל</w:t>
      </w:r>
      <w:r w:rsidR="00757DD0">
        <w:rPr>
          <w:rFonts w:hint="cs"/>
          <w:rtl/>
        </w:rPr>
        <w:t xml:space="preserve">שתיית </w:t>
      </w:r>
      <w:r>
        <w:rPr>
          <w:rtl/>
        </w:rPr>
        <w:t>אחרים.</w:t>
      </w:r>
      <w:r>
        <w:rPr>
          <w:rFonts w:hint="cs"/>
          <w:rtl/>
        </w:rPr>
        <w:t xml:space="preserve"> </w:t>
      </w:r>
      <w:r>
        <w:rPr>
          <w:rtl/>
        </w:rPr>
        <w:t>הר"ן</w:t>
      </w:r>
      <w:r w:rsidR="00757DD0">
        <w:rPr>
          <w:rFonts w:hint="cs"/>
          <w:rtl/>
        </w:rPr>
        <w:t xml:space="preserve"> (שם)</w:t>
      </w:r>
      <w:r>
        <w:rPr>
          <w:rtl/>
        </w:rPr>
        <w:t xml:space="preserve"> </w:t>
      </w:r>
      <w:r w:rsidR="00757DD0">
        <w:rPr>
          <w:rFonts w:hint="cs"/>
          <w:rtl/>
        </w:rPr>
        <w:t xml:space="preserve">ביאר כי </w:t>
      </w:r>
      <w:r>
        <w:rPr>
          <w:rtl/>
        </w:rPr>
        <w:t>לפי חכמים</w:t>
      </w:r>
      <w:r w:rsidR="00757DD0">
        <w:rPr>
          <w:rFonts w:hint="cs"/>
          <w:rtl/>
        </w:rPr>
        <w:t>,</w:t>
      </w:r>
      <w:r>
        <w:rPr>
          <w:rtl/>
        </w:rPr>
        <w:t xml:space="preserve"> שת</w:t>
      </w:r>
      <w:r w:rsidR="00757DD0">
        <w:rPr>
          <w:rFonts w:hint="cs"/>
          <w:rtl/>
        </w:rPr>
        <w:t>י</w:t>
      </w:r>
      <w:r w:rsidR="00757DD0">
        <w:rPr>
          <w:rtl/>
        </w:rPr>
        <w:t>ית אחרים קודמת לכביסת בני העיר</w:t>
      </w:r>
      <w:r>
        <w:rPr>
          <w:rtl/>
        </w:rPr>
        <w:t xml:space="preserve"> </w:t>
      </w:r>
      <w:r w:rsidR="00757DD0">
        <w:rPr>
          <w:rFonts w:hint="cs"/>
          <w:rtl/>
        </w:rPr>
        <w:t>משום ש</w:t>
      </w:r>
      <w:r>
        <w:rPr>
          <w:rtl/>
        </w:rPr>
        <w:t>בשת</w:t>
      </w:r>
      <w:r w:rsidR="00757DD0">
        <w:rPr>
          <w:rFonts w:hint="cs"/>
          <w:rtl/>
        </w:rPr>
        <w:t>י</w:t>
      </w:r>
      <w:r>
        <w:rPr>
          <w:rtl/>
        </w:rPr>
        <w:t>יה</w:t>
      </w:r>
      <w:r w:rsidR="00757DD0">
        <w:rPr>
          <w:rFonts w:hint="cs"/>
          <w:rtl/>
        </w:rPr>
        <w:t xml:space="preserve"> יש משום</w:t>
      </w:r>
      <w:r>
        <w:rPr>
          <w:rtl/>
        </w:rPr>
        <w:t xml:space="preserve"> חיי נפש, ואילו ל</w:t>
      </w:r>
      <w:r w:rsidR="00757DD0">
        <w:rPr>
          <w:rFonts w:hint="cs"/>
          <w:rtl/>
        </w:rPr>
        <w:t xml:space="preserve">פי </w:t>
      </w:r>
      <w:r>
        <w:rPr>
          <w:rtl/>
        </w:rPr>
        <w:t>ר</w:t>
      </w:r>
      <w:r w:rsidR="00757DD0">
        <w:rPr>
          <w:rFonts w:hint="cs"/>
          <w:rtl/>
        </w:rPr>
        <w:t>'</w:t>
      </w:r>
      <w:r>
        <w:rPr>
          <w:rtl/>
        </w:rPr>
        <w:t xml:space="preserve"> יוסי</w:t>
      </w:r>
      <w:r w:rsidR="00757DD0">
        <w:rPr>
          <w:rFonts w:hint="cs"/>
          <w:rtl/>
        </w:rPr>
        <w:t>,</w:t>
      </w:r>
      <w:r>
        <w:rPr>
          <w:rtl/>
        </w:rPr>
        <w:t xml:space="preserve"> כיון "שבמניעת כביסה איכא צערא </w:t>
      </w:r>
      <w:proofErr w:type="spellStart"/>
      <w:r>
        <w:rPr>
          <w:rtl/>
        </w:rPr>
        <w:t>טובא</w:t>
      </w:r>
      <w:proofErr w:type="spellEnd"/>
      <w:r>
        <w:rPr>
          <w:rtl/>
        </w:rPr>
        <w:t>, חיי נפש הוא".</w:t>
      </w:r>
      <w:r>
        <w:rPr>
          <w:rFonts w:hint="cs"/>
          <w:rtl/>
        </w:rPr>
        <w:t xml:space="preserve"> </w:t>
      </w:r>
      <w:r w:rsidR="00757DD0">
        <w:rPr>
          <w:rFonts w:hint="cs"/>
          <w:rtl/>
        </w:rPr>
        <w:t xml:space="preserve">מדבריו </w:t>
      </w:r>
      <w:r w:rsidR="00757DD0">
        <w:rPr>
          <w:rtl/>
        </w:rPr>
        <w:t>מבואר</w:t>
      </w:r>
      <w:r>
        <w:rPr>
          <w:rtl/>
        </w:rPr>
        <w:t xml:space="preserve"> כי צ</w:t>
      </w:r>
      <w:r w:rsidR="00757DD0">
        <w:rPr>
          <w:rFonts w:hint="cs"/>
          <w:rtl/>
        </w:rPr>
        <w:t>ו</w:t>
      </w:r>
      <w:r>
        <w:rPr>
          <w:rtl/>
        </w:rPr>
        <w:t>רכי רבים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גם שאינם ח</w:t>
      </w:r>
      <w:r>
        <w:rPr>
          <w:rFonts w:hint="cs"/>
          <w:rtl/>
        </w:rPr>
        <w:t>יי</w:t>
      </w:r>
      <w:r>
        <w:rPr>
          <w:rtl/>
        </w:rPr>
        <w:t xml:space="preserve"> נפש</w:t>
      </w:r>
      <w:r>
        <w:rPr>
          <w:rFonts w:hint="cs"/>
          <w:rtl/>
        </w:rPr>
        <w:t xml:space="preserve"> באופן ישיר</w:t>
      </w:r>
      <w:r>
        <w:rPr>
          <w:rtl/>
        </w:rPr>
        <w:t xml:space="preserve">, שקולים כנגד </w:t>
      </w:r>
      <w:r>
        <w:rPr>
          <w:rFonts w:hint="cs"/>
          <w:rtl/>
        </w:rPr>
        <w:t>חיי נפש של היחיד</w:t>
      </w:r>
      <w:r>
        <w:rPr>
          <w:rtl/>
        </w:rPr>
        <w:t>.</w:t>
      </w:r>
    </w:p>
  </w:endnote>
  <w:endnote w:id="15">
    <w:p w14:paraId="37501490" w14:textId="3C284AA7" w:rsidR="00365364" w:rsidRDefault="00365364" w:rsidP="006C63BC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הרב שלמה </w:t>
      </w:r>
      <w:proofErr w:type="spellStart"/>
      <w:r>
        <w:rPr>
          <w:rFonts w:hint="cs"/>
          <w:rtl/>
        </w:rPr>
        <w:t>דיכובסקי</w:t>
      </w:r>
      <w:proofErr w:type="spellEnd"/>
      <w:r>
        <w:rPr>
          <w:rFonts w:hint="cs"/>
          <w:rtl/>
        </w:rPr>
        <w:t>, '</w:t>
      </w:r>
      <w:r w:rsidR="006C63BC">
        <w:rPr>
          <w:rFonts w:hint="eastAsia"/>
          <w:rtl/>
        </w:rPr>
        <w:t> </w:t>
      </w:r>
      <w:r>
        <w:rPr>
          <w:rFonts w:hint="eastAsia"/>
          <w:rtl/>
        </w:rPr>
        <w:t>"</w:t>
      </w:r>
      <w:r>
        <w:rPr>
          <w:rFonts w:hint="cs"/>
          <w:rtl/>
        </w:rPr>
        <w:t xml:space="preserve">די מחסורו" </w:t>
      </w:r>
      <w:r>
        <w:rPr>
          <w:rtl/>
        </w:rPr>
        <w:t>–</w:t>
      </w:r>
      <w:r>
        <w:rPr>
          <w:rFonts w:hint="cs"/>
          <w:rtl/>
        </w:rPr>
        <w:t xml:space="preserve"> קריטריונים וגבולות", אתר מכון התורה והארץ.</w:t>
      </w:r>
    </w:p>
  </w:endnote>
  <w:endnote w:id="16">
    <w:p w14:paraId="443F460E" w14:textId="7D02E06D" w:rsidR="00CE53A5" w:rsidRDefault="00CE53A5" w:rsidP="00C44069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6C63BC">
        <w:rPr>
          <w:rFonts w:hint="cs"/>
          <w:rtl/>
        </w:rPr>
        <w:t>בשולחן ערוך (</w:t>
      </w:r>
      <w:r w:rsidRPr="00E769C3">
        <w:rPr>
          <w:rtl/>
        </w:rPr>
        <w:t>חו</w:t>
      </w:r>
      <w:r w:rsidR="006C63BC">
        <w:rPr>
          <w:rFonts w:hint="cs"/>
          <w:rtl/>
        </w:rPr>
        <w:t xml:space="preserve">שן </w:t>
      </w:r>
      <w:r w:rsidRPr="00E769C3">
        <w:rPr>
          <w:rtl/>
        </w:rPr>
        <w:t>מ</w:t>
      </w:r>
      <w:r w:rsidR="006C63BC">
        <w:rPr>
          <w:rFonts w:hint="cs"/>
          <w:rtl/>
        </w:rPr>
        <w:t>שפט, סימן</w:t>
      </w:r>
      <w:r w:rsidRPr="00E769C3">
        <w:rPr>
          <w:rtl/>
        </w:rPr>
        <w:t xml:space="preserve"> </w:t>
      </w:r>
      <w:proofErr w:type="spellStart"/>
      <w:r w:rsidRPr="00E769C3">
        <w:rPr>
          <w:rtl/>
        </w:rPr>
        <w:t>קסג</w:t>
      </w:r>
      <w:proofErr w:type="spellEnd"/>
      <w:r w:rsidRPr="00E769C3">
        <w:rPr>
          <w:rtl/>
        </w:rPr>
        <w:t>,</w:t>
      </w:r>
      <w:r w:rsidR="006C63BC">
        <w:rPr>
          <w:rFonts w:hint="cs"/>
          <w:rtl/>
        </w:rPr>
        <w:t xml:space="preserve"> סעיף </w:t>
      </w:r>
      <w:r w:rsidRPr="00E769C3">
        <w:rPr>
          <w:rtl/>
        </w:rPr>
        <w:t>ג</w:t>
      </w:r>
      <w:r w:rsidR="006C63BC">
        <w:rPr>
          <w:rFonts w:hint="cs"/>
          <w:rtl/>
        </w:rPr>
        <w:t xml:space="preserve"> </w:t>
      </w:r>
      <w:proofErr w:type="spellStart"/>
      <w:r w:rsidR="006C63BC">
        <w:rPr>
          <w:rFonts w:hint="cs"/>
          <w:rtl/>
        </w:rPr>
        <w:t>בהגה"ה</w:t>
      </w:r>
      <w:proofErr w:type="spellEnd"/>
      <w:r w:rsidR="006C63BC">
        <w:rPr>
          <w:rFonts w:hint="cs"/>
          <w:rtl/>
        </w:rPr>
        <w:t xml:space="preserve">) הובאה פסיקתו של </w:t>
      </w:r>
      <w:proofErr w:type="spellStart"/>
      <w:r w:rsidR="006C63BC">
        <w:rPr>
          <w:rFonts w:hint="cs"/>
          <w:rtl/>
        </w:rPr>
        <w:t>הרמ"א</w:t>
      </w:r>
      <w:proofErr w:type="spellEnd"/>
      <w:r w:rsidRPr="00E769C3">
        <w:rPr>
          <w:rtl/>
        </w:rPr>
        <w:t xml:space="preserve"> </w:t>
      </w:r>
      <w:r w:rsidR="006C63BC">
        <w:rPr>
          <w:rFonts w:hint="cs"/>
          <w:rtl/>
        </w:rPr>
        <w:t>(</w:t>
      </w:r>
      <w:r w:rsidRPr="00E769C3">
        <w:rPr>
          <w:rFonts w:hint="cs"/>
          <w:rtl/>
        </w:rPr>
        <w:t>על</w:t>
      </w:r>
      <w:r w:rsidR="006C63BC">
        <w:rPr>
          <w:rFonts w:hint="cs"/>
          <w:rtl/>
        </w:rPr>
        <w:t xml:space="preserve"> פי פסיקתו</w:t>
      </w:r>
      <w:r w:rsidRPr="00E769C3">
        <w:rPr>
          <w:rFonts w:hint="cs"/>
          <w:rtl/>
        </w:rPr>
        <w:t xml:space="preserve"> של</w:t>
      </w:r>
      <w:r w:rsidRPr="00E769C3">
        <w:rPr>
          <w:rtl/>
        </w:rPr>
        <w:t xml:space="preserve"> </w:t>
      </w:r>
      <w:proofErr w:type="spellStart"/>
      <w:r w:rsidRPr="00E769C3">
        <w:rPr>
          <w:rtl/>
        </w:rPr>
        <w:t>מהר"י</w:t>
      </w:r>
      <w:proofErr w:type="spellEnd"/>
      <w:r w:rsidRPr="00E769C3">
        <w:rPr>
          <w:rtl/>
        </w:rPr>
        <w:t xml:space="preserve"> מינץ </w:t>
      </w:r>
      <w:proofErr w:type="spellStart"/>
      <w:r w:rsidRPr="00E769C3">
        <w:rPr>
          <w:rFonts w:hint="cs"/>
          <w:rtl/>
        </w:rPr>
        <w:t>ו</w:t>
      </w:r>
      <w:r w:rsidR="006C63BC">
        <w:rPr>
          <w:rtl/>
        </w:rPr>
        <w:t>מהר"ם</w:t>
      </w:r>
      <w:proofErr w:type="spellEnd"/>
      <w:r w:rsidR="006C63BC">
        <w:rPr>
          <w:rtl/>
        </w:rPr>
        <w:t xml:space="preserve"> מרוטנברג</w:t>
      </w:r>
      <w:r w:rsidR="006C63BC">
        <w:rPr>
          <w:rFonts w:hint="cs"/>
          <w:rtl/>
        </w:rPr>
        <w:t>)</w:t>
      </w:r>
      <w:r w:rsidRPr="00E769C3">
        <w:rPr>
          <w:rtl/>
        </w:rPr>
        <w:t xml:space="preserve"> </w:t>
      </w:r>
      <w:r w:rsidR="006C63BC">
        <w:rPr>
          <w:rFonts w:hint="cs"/>
          <w:rtl/>
        </w:rPr>
        <w:t xml:space="preserve">שלפיה </w:t>
      </w:r>
      <w:r w:rsidRPr="00E769C3">
        <w:rPr>
          <w:rtl/>
        </w:rPr>
        <w:t>בני עיר יכולים לכ</w:t>
      </w:r>
      <w:r w:rsidR="006C63BC">
        <w:rPr>
          <w:rFonts w:hint="cs"/>
          <w:rtl/>
        </w:rPr>
        <w:t>פות</w:t>
      </w:r>
      <w:r w:rsidRPr="00E769C3">
        <w:rPr>
          <w:rtl/>
        </w:rPr>
        <w:t xml:space="preserve"> זה את זה ל</w:t>
      </w:r>
      <w:r w:rsidR="006C63BC">
        <w:rPr>
          <w:rFonts w:hint="cs"/>
          <w:rtl/>
        </w:rPr>
        <w:t xml:space="preserve">שם בנייה של </w:t>
      </w:r>
      <w:r w:rsidRPr="00E769C3">
        <w:rPr>
          <w:rtl/>
        </w:rPr>
        <w:t>מבנים ציבוריים אף שלא הכול זקוקים להם</w:t>
      </w:r>
      <w:r w:rsidR="00C44069">
        <w:rPr>
          <w:rFonts w:hint="cs"/>
          <w:rtl/>
        </w:rPr>
        <w:t xml:space="preserve"> וביניהם "בית </w:t>
      </w:r>
      <w:proofErr w:type="spellStart"/>
      <w:r w:rsidR="00C44069">
        <w:rPr>
          <w:rFonts w:hint="cs"/>
          <w:rtl/>
        </w:rPr>
        <w:t>חתנות</w:t>
      </w:r>
      <w:proofErr w:type="spellEnd"/>
      <w:r w:rsidR="00C44069">
        <w:rPr>
          <w:rFonts w:hint="cs"/>
          <w:rtl/>
        </w:rPr>
        <w:t>"</w:t>
      </w:r>
      <w:r w:rsidRPr="00E769C3">
        <w:rPr>
          <w:rFonts w:hint="cs"/>
          <w:rtl/>
        </w:rPr>
        <w:t xml:space="preserve">. </w:t>
      </w:r>
      <w:r w:rsidR="006C63BC">
        <w:rPr>
          <w:rFonts w:hint="cs"/>
          <w:rtl/>
        </w:rPr>
        <w:t xml:space="preserve">בעקבות דברי </w:t>
      </w:r>
      <w:proofErr w:type="spellStart"/>
      <w:r w:rsidR="006C63BC">
        <w:rPr>
          <w:rFonts w:hint="cs"/>
          <w:rtl/>
        </w:rPr>
        <w:t>רשב"ם</w:t>
      </w:r>
      <w:proofErr w:type="spellEnd"/>
      <w:r w:rsidR="006C63BC">
        <w:rPr>
          <w:rFonts w:hint="cs"/>
          <w:rtl/>
        </w:rPr>
        <w:t xml:space="preserve"> (בבא </w:t>
      </w:r>
      <w:proofErr w:type="spellStart"/>
      <w:r w:rsidR="006C63BC">
        <w:rPr>
          <w:rFonts w:hint="cs"/>
          <w:rtl/>
        </w:rPr>
        <w:t>בתרא</w:t>
      </w:r>
      <w:proofErr w:type="spellEnd"/>
      <w:r w:rsidR="006C63BC">
        <w:rPr>
          <w:rFonts w:hint="cs"/>
          <w:rtl/>
        </w:rPr>
        <w:t>, צח ע"ב) ה</w:t>
      </w:r>
      <w:r w:rsidRPr="00E769C3">
        <w:rPr>
          <w:rFonts w:hint="cs"/>
          <w:rtl/>
        </w:rPr>
        <w:t xml:space="preserve">ציע הרב </w:t>
      </w:r>
      <w:proofErr w:type="spellStart"/>
      <w:r w:rsidRPr="00E769C3">
        <w:rPr>
          <w:rFonts w:hint="cs"/>
          <w:rtl/>
        </w:rPr>
        <w:t>זולדן</w:t>
      </w:r>
      <w:proofErr w:type="spellEnd"/>
      <w:r w:rsidRPr="00E769C3">
        <w:rPr>
          <w:rFonts w:hint="cs"/>
          <w:rtl/>
        </w:rPr>
        <w:t xml:space="preserve"> </w:t>
      </w:r>
      <w:r w:rsidR="006C63BC">
        <w:rPr>
          <w:rFonts w:hint="cs"/>
          <w:rtl/>
        </w:rPr>
        <w:t xml:space="preserve">לפרש כי </w:t>
      </w:r>
      <w:r w:rsidRPr="00E769C3">
        <w:rPr>
          <w:rFonts w:hint="cs"/>
          <w:rtl/>
        </w:rPr>
        <w:t xml:space="preserve">כוונת </w:t>
      </w:r>
      <w:proofErr w:type="spellStart"/>
      <w:r w:rsidRPr="00E769C3">
        <w:rPr>
          <w:rFonts w:hint="cs"/>
          <w:rtl/>
        </w:rPr>
        <w:t>הרמ"א</w:t>
      </w:r>
      <w:proofErr w:type="spellEnd"/>
      <w:r w:rsidRPr="00E769C3">
        <w:rPr>
          <w:rFonts w:hint="cs"/>
          <w:rtl/>
        </w:rPr>
        <w:t xml:space="preserve"> </w:t>
      </w:r>
      <w:r w:rsidR="00C44069">
        <w:rPr>
          <w:rFonts w:hint="cs"/>
          <w:rtl/>
        </w:rPr>
        <w:t xml:space="preserve">בעניין "בית </w:t>
      </w:r>
      <w:proofErr w:type="spellStart"/>
      <w:r w:rsidR="00C44069">
        <w:rPr>
          <w:rFonts w:hint="cs"/>
          <w:rtl/>
        </w:rPr>
        <w:t>חתנות</w:t>
      </w:r>
      <w:proofErr w:type="spellEnd"/>
      <w:r w:rsidR="00C44069">
        <w:rPr>
          <w:rFonts w:hint="cs"/>
          <w:rtl/>
        </w:rPr>
        <w:t xml:space="preserve">" </w:t>
      </w:r>
      <w:r w:rsidR="006C63BC">
        <w:rPr>
          <w:rFonts w:hint="cs"/>
          <w:rtl/>
        </w:rPr>
        <w:t xml:space="preserve">היא </w:t>
      </w:r>
      <w:r w:rsidRPr="00E769C3">
        <w:rPr>
          <w:rFonts w:hint="cs"/>
          <w:rtl/>
        </w:rPr>
        <w:t>ל"</w:t>
      </w:r>
      <w:r w:rsidRPr="00E769C3">
        <w:rPr>
          <w:rtl/>
        </w:rPr>
        <w:t>מקום שבו דרים חתן וכלה לאחר נישואיהם</w:t>
      </w:r>
      <w:r w:rsidRPr="00E769C3">
        <w:rPr>
          <w:rFonts w:hint="cs"/>
          <w:rtl/>
        </w:rPr>
        <w:t xml:space="preserve">... </w:t>
      </w:r>
      <w:r w:rsidRPr="00E769C3">
        <w:rPr>
          <w:rtl/>
        </w:rPr>
        <w:t>יתכן שהיו בונים חדרים כאלה לזוגות עניים על מנת שיהיה להם היכן לגור לאחר חתונתם, והלכה היא שניתן לכפות על בני העיר שישתתפו בהוצאה זו</w:t>
      </w:r>
      <w:r w:rsidR="006C63BC">
        <w:rPr>
          <w:rFonts w:hint="cs"/>
          <w:rtl/>
        </w:rPr>
        <w:t>". ראו</w:t>
      </w:r>
      <w:r w:rsidRPr="00E769C3">
        <w:rPr>
          <w:rFonts w:hint="cs"/>
          <w:rtl/>
        </w:rPr>
        <w:t xml:space="preserve"> </w:t>
      </w:r>
      <w:r w:rsidRPr="00E769C3">
        <w:rPr>
          <w:rtl/>
        </w:rPr>
        <w:t xml:space="preserve">הרב יהודה </w:t>
      </w:r>
      <w:proofErr w:type="spellStart"/>
      <w:r w:rsidRPr="00E769C3">
        <w:rPr>
          <w:rtl/>
        </w:rPr>
        <w:t>זולדן</w:t>
      </w:r>
      <w:proofErr w:type="spellEnd"/>
      <w:r w:rsidR="006C63BC">
        <w:rPr>
          <w:rFonts w:hint="cs"/>
          <w:rtl/>
        </w:rPr>
        <w:t>, '</w:t>
      </w:r>
      <w:r w:rsidRPr="00E769C3">
        <w:rPr>
          <w:rtl/>
        </w:rPr>
        <w:t>בקשת צדקה למימון הוצאות חריגות</w:t>
      </w:r>
      <w:r w:rsidR="006C63BC">
        <w:rPr>
          <w:rFonts w:hint="cs"/>
          <w:rtl/>
        </w:rPr>
        <w:t>'</w:t>
      </w:r>
      <w:r w:rsidRPr="00E769C3">
        <w:rPr>
          <w:rFonts w:hint="cs"/>
          <w:rtl/>
        </w:rPr>
        <w:t xml:space="preserve">, </w:t>
      </w:r>
      <w:proofErr w:type="spellStart"/>
      <w:r w:rsidRPr="00E769C3">
        <w:rPr>
          <w:rFonts w:hint="cs"/>
          <w:rtl/>
        </w:rPr>
        <w:t>תחומין</w:t>
      </w:r>
      <w:proofErr w:type="spellEnd"/>
      <w:r w:rsidR="006C63BC">
        <w:rPr>
          <w:rFonts w:hint="cs"/>
          <w:rtl/>
        </w:rPr>
        <w:t>,</w:t>
      </w:r>
      <w:r w:rsidRPr="00E769C3">
        <w:rPr>
          <w:rFonts w:hint="cs"/>
          <w:rtl/>
        </w:rPr>
        <w:t xml:space="preserve"> </w:t>
      </w:r>
      <w:r w:rsidR="006C63BC">
        <w:rPr>
          <w:rFonts w:hint="cs"/>
          <w:rtl/>
        </w:rPr>
        <w:t>לד (תשע"ד)</w:t>
      </w:r>
      <w:r w:rsidRPr="00E769C3">
        <w:rPr>
          <w:rFonts w:hint="cs"/>
          <w:rtl/>
        </w:rPr>
        <w:t>, עמ' 324 ואילך.</w:t>
      </w:r>
    </w:p>
  </w:endnote>
  <w:endnote w:id="17">
    <w:p w14:paraId="78BA772D" w14:textId="5643E5CC" w:rsidR="00417B56" w:rsidRDefault="00417B56" w:rsidP="006C63BC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6C63BC">
        <w:rPr>
          <w:rFonts w:hint="cs"/>
          <w:rtl/>
        </w:rPr>
        <w:t xml:space="preserve">ראו הרב </w:t>
      </w:r>
      <w:r>
        <w:rPr>
          <w:rFonts w:hint="cs"/>
          <w:rtl/>
        </w:rPr>
        <w:t>נפתלי ברלין</w:t>
      </w:r>
      <w:r w:rsidR="006C63BC">
        <w:rPr>
          <w:rFonts w:hint="cs"/>
          <w:rtl/>
        </w:rPr>
        <w:t>,</w:t>
      </w:r>
      <w:r>
        <w:rPr>
          <w:rFonts w:hint="cs"/>
          <w:rtl/>
        </w:rPr>
        <w:t xml:space="preserve"> משטר ומדינה בישראל על פי התורה, פרק מט</w:t>
      </w:r>
      <w:r w:rsidR="006C63BC">
        <w:rPr>
          <w:rFonts w:hint="cs"/>
          <w:rtl/>
        </w:rPr>
        <w:t>,</w:t>
      </w:r>
      <w:r>
        <w:rPr>
          <w:rFonts w:hint="cs"/>
          <w:rtl/>
        </w:rPr>
        <w:t xml:space="preserve"> סעיף </w:t>
      </w:r>
      <w:proofErr w:type="spellStart"/>
      <w:r>
        <w:rPr>
          <w:rFonts w:hint="cs"/>
          <w:rtl/>
        </w:rPr>
        <w:t>רמט</w:t>
      </w:r>
      <w:proofErr w:type="spellEnd"/>
      <w:r w:rsidR="006C63BC">
        <w:rPr>
          <w:rFonts w:hint="cs"/>
          <w:rtl/>
        </w:rPr>
        <w:t xml:space="preserve"> (בעקבות דברי הרמב"ם במשנה תורה, הלכות טומאת צרעת, פרק יד, הלכה יד)</w:t>
      </w:r>
      <w:r>
        <w:rPr>
          <w:rFonts w:hint="cs"/>
          <w:rtl/>
        </w:rPr>
        <w:t>.</w:t>
      </w:r>
    </w:p>
  </w:endnote>
  <w:endnote w:id="18">
    <w:p w14:paraId="43688367" w14:textId="77777777" w:rsidR="006C63BC" w:rsidRDefault="006C63BC" w:rsidP="006C63BC">
      <w:pPr>
        <w:pStyle w:val="ae"/>
      </w:pPr>
    </w:p>
    <w:p w14:paraId="247AE180" w14:textId="229FDAC9" w:rsidR="00417B56" w:rsidRDefault="00417B56" w:rsidP="00C44069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6C63BC">
        <w:rPr>
          <w:rFonts w:hint="cs"/>
          <w:rtl/>
        </w:rPr>
        <w:t xml:space="preserve">ראו </w:t>
      </w:r>
      <w:r>
        <w:rPr>
          <w:rFonts w:hint="cs"/>
          <w:rtl/>
        </w:rPr>
        <w:t>שולחן ערוך</w:t>
      </w:r>
      <w:r w:rsidR="006C63BC">
        <w:rPr>
          <w:rFonts w:hint="cs"/>
          <w:rtl/>
        </w:rPr>
        <w:t xml:space="preserve">, חושן </w:t>
      </w:r>
      <w:r>
        <w:rPr>
          <w:rFonts w:hint="cs"/>
          <w:rtl/>
        </w:rPr>
        <w:t>מ</w:t>
      </w:r>
      <w:r w:rsidR="006C63BC">
        <w:rPr>
          <w:rFonts w:hint="cs"/>
          <w:rtl/>
        </w:rPr>
        <w:t>שפט, סימן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שיב</w:t>
      </w:r>
      <w:proofErr w:type="spellEnd"/>
      <w:r>
        <w:rPr>
          <w:rFonts w:hint="cs"/>
          <w:rtl/>
        </w:rPr>
        <w:t>,</w:t>
      </w:r>
      <w:r w:rsidR="006C63BC">
        <w:rPr>
          <w:rFonts w:hint="cs"/>
          <w:rtl/>
        </w:rPr>
        <w:t xml:space="preserve"> סעיף </w:t>
      </w:r>
      <w:r>
        <w:rPr>
          <w:rFonts w:hint="cs"/>
          <w:rtl/>
        </w:rPr>
        <w:t>ה: "</w:t>
      </w:r>
      <w:r w:rsidRPr="00611516">
        <w:rPr>
          <w:rtl/>
        </w:rPr>
        <w:t xml:space="preserve">המשכיר בית </w:t>
      </w:r>
      <w:proofErr w:type="spellStart"/>
      <w:r w:rsidRPr="00611516">
        <w:rPr>
          <w:rtl/>
        </w:rPr>
        <w:t>לחבירו</w:t>
      </w:r>
      <w:proofErr w:type="spellEnd"/>
      <w:r w:rsidRPr="00611516">
        <w:rPr>
          <w:rtl/>
        </w:rPr>
        <w:t xml:space="preserve"> סתם, אינו יכול להוציאו עד שיודיענו ל' יום מקודם כדי לבקש מקום ולא יהא מושלך בדרך, ולסוף </w:t>
      </w:r>
      <w:proofErr w:type="spellStart"/>
      <w:r w:rsidRPr="00611516">
        <w:rPr>
          <w:rtl/>
        </w:rPr>
        <w:t>השלשים</w:t>
      </w:r>
      <w:proofErr w:type="spellEnd"/>
      <w:r w:rsidRPr="00611516">
        <w:rPr>
          <w:rtl/>
        </w:rPr>
        <w:t xml:space="preserve"> יצא. ב</w:t>
      </w:r>
      <w:r w:rsidR="00C44069">
        <w:rPr>
          <w:rFonts w:hint="cs"/>
          <w:rtl/>
        </w:rPr>
        <w:t>מה דברים אמורים?</w:t>
      </w:r>
      <w:r w:rsidR="00C44069">
        <w:rPr>
          <w:rtl/>
        </w:rPr>
        <w:t xml:space="preserve"> בימות החמה</w:t>
      </w:r>
      <w:r w:rsidR="00C44069">
        <w:rPr>
          <w:rFonts w:hint="cs"/>
          <w:rtl/>
        </w:rPr>
        <w:t>,</w:t>
      </w:r>
      <w:r w:rsidRPr="00611516">
        <w:rPr>
          <w:rtl/>
        </w:rPr>
        <w:t xml:space="preserve"> אבל בימות הגשמים, אינו יכול להוציאו מהחג ועד הפסח</w:t>
      </w:r>
      <w:r>
        <w:rPr>
          <w:rFonts w:hint="cs"/>
          <w:rtl/>
        </w:rPr>
        <w:t>".</w:t>
      </w:r>
      <w:r w:rsidR="006C63BC">
        <w:rPr>
          <w:rFonts w:hint="cs"/>
          <w:rtl/>
        </w:rPr>
        <w:t xml:space="preserve"> לניתוח התקנה ו</w:t>
      </w:r>
      <w:r w:rsidR="00C44069">
        <w:rPr>
          <w:rFonts w:hint="cs"/>
          <w:rtl/>
        </w:rPr>
        <w:t>ל</w:t>
      </w:r>
      <w:r w:rsidR="006C63BC">
        <w:rPr>
          <w:rFonts w:hint="cs"/>
          <w:rtl/>
        </w:rPr>
        <w:t>מקורה, ראו</w:t>
      </w:r>
      <w:r>
        <w:rPr>
          <w:rFonts w:hint="cs"/>
          <w:rtl/>
        </w:rPr>
        <w:t xml:space="preserve"> מיכאל </w:t>
      </w:r>
      <w:proofErr w:type="spellStart"/>
      <w:r>
        <w:rPr>
          <w:rFonts w:hint="cs"/>
          <w:rtl/>
        </w:rPr>
        <w:t>ויגודה</w:t>
      </w:r>
      <w:proofErr w:type="spellEnd"/>
      <w:r>
        <w:rPr>
          <w:rFonts w:hint="cs"/>
          <w:rtl/>
        </w:rPr>
        <w:t>, חוק לישראל: שכירות ושאילה</w:t>
      </w:r>
      <w:r w:rsidR="006C63BC">
        <w:rPr>
          <w:rFonts w:hint="cs"/>
          <w:rtl/>
        </w:rPr>
        <w:t>, ירושלים, תשנ"ח, עמ' 408 ואילך</w:t>
      </w:r>
      <w:r>
        <w:rPr>
          <w:rFonts w:hint="cs"/>
          <w:rtl/>
        </w:rPr>
        <w:t xml:space="preserve"> </w:t>
      </w:r>
      <w:r w:rsidR="006C63BC">
        <w:rPr>
          <w:rFonts w:hint="cs"/>
          <w:rtl/>
        </w:rPr>
        <w:t>(</w:t>
      </w:r>
      <w:r>
        <w:rPr>
          <w:rFonts w:hint="cs"/>
          <w:rtl/>
        </w:rPr>
        <w:t>במיוחד הערה 11</w:t>
      </w:r>
      <w:r w:rsidR="006C63BC">
        <w:rPr>
          <w:rFonts w:hint="cs"/>
          <w:rtl/>
        </w:rPr>
        <w:t>)</w:t>
      </w:r>
      <w:r>
        <w:rPr>
          <w:rFonts w:hint="cs"/>
          <w:rtl/>
        </w:rPr>
        <w:t>.</w:t>
      </w:r>
    </w:p>
  </w:endnote>
  <w:endnote w:id="19">
    <w:p w14:paraId="2306D569" w14:textId="321F78E8" w:rsidR="00880D77" w:rsidRDefault="00880D77" w:rsidP="00880D77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רבנו גרשום גזר כי במקרה שבו יהודי שכר מגוי בית לשנה, אסור ליהודי אחר להציע סכום גדול יותר בעבור השנה השנייה. לדעת חלק מהפוסקים, גזירה זו הייתה מקיפה יותר: "</w:t>
      </w:r>
      <w:r w:rsidRPr="004D6966">
        <w:rPr>
          <w:rtl/>
        </w:rPr>
        <w:t>תקנה שלא לשכור בית גוי שדר בו ישראל עד מלאות לו שנה אחר שיצא ישראל מהבית</w:t>
      </w:r>
      <w:r>
        <w:rPr>
          <w:rFonts w:hint="cs"/>
          <w:rtl/>
        </w:rPr>
        <w:t xml:space="preserve">". ראו שולחן ערוך, חושן משפט, סימן </w:t>
      </w:r>
      <w:proofErr w:type="spellStart"/>
      <w:r>
        <w:rPr>
          <w:rFonts w:hint="cs"/>
          <w:rtl/>
        </w:rPr>
        <w:t>רלז</w:t>
      </w:r>
      <w:proofErr w:type="spellEnd"/>
      <w:r>
        <w:rPr>
          <w:rFonts w:hint="cs"/>
          <w:rtl/>
        </w:rPr>
        <w:t>, סוף סעיף א, ובנושאי הכלים שם.</w:t>
      </w:r>
    </w:p>
  </w:endnote>
  <w:endnote w:id="20">
    <w:p w14:paraId="2259322F" w14:textId="7100967E" w:rsidR="00417B56" w:rsidRDefault="00417B56" w:rsidP="00880D77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לגישות השונות בשאלה מורכבת זו, רא</w:t>
      </w:r>
      <w:r w:rsidR="00880D77">
        <w:rPr>
          <w:rFonts w:hint="cs"/>
          <w:rtl/>
        </w:rPr>
        <w:t>ו</w:t>
      </w:r>
      <w:r>
        <w:rPr>
          <w:rFonts w:hint="cs"/>
          <w:rtl/>
        </w:rPr>
        <w:t xml:space="preserve"> עמוס </w:t>
      </w:r>
      <w:proofErr w:type="spellStart"/>
      <w:r>
        <w:rPr>
          <w:rFonts w:hint="cs"/>
          <w:rtl/>
        </w:rPr>
        <w:t>ישראל</w:t>
      </w:r>
      <w:r w:rsidR="00880D77">
        <w:rPr>
          <w:rFonts w:hint="eastAsia"/>
          <w:rtl/>
        </w:rPr>
        <w:t>־</w:t>
      </w:r>
      <w:r w:rsidR="00880D77">
        <w:rPr>
          <w:rFonts w:hint="cs"/>
          <w:rtl/>
        </w:rPr>
        <w:t>פליסהואור</w:t>
      </w:r>
      <w:proofErr w:type="spellEnd"/>
      <w:r w:rsidR="00880D77">
        <w:rPr>
          <w:rFonts w:hint="cs"/>
          <w:rtl/>
        </w:rPr>
        <w:t xml:space="preserve">, </w:t>
      </w:r>
      <w:r>
        <w:rPr>
          <w:rtl/>
        </w:rPr>
        <w:t>יחס ההלכה למשפט הבין</w:t>
      </w:r>
      <w:r w:rsidR="00880D77">
        <w:rPr>
          <w:rFonts w:hint="cs"/>
          <w:rtl/>
        </w:rPr>
        <w:t>-</w:t>
      </w:r>
      <w:r>
        <w:rPr>
          <w:rtl/>
        </w:rPr>
        <w:t>לאומי:</w:t>
      </w:r>
      <w:r>
        <w:rPr>
          <w:rFonts w:hint="cs"/>
          <w:rtl/>
        </w:rPr>
        <w:t xml:space="preserve"> </w:t>
      </w:r>
      <w:r>
        <w:rPr>
          <w:rtl/>
        </w:rPr>
        <w:t>ניתוח הפסיקה וניתוח תהליכי</w:t>
      </w:r>
      <w:r>
        <w:rPr>
          <w:rFonts w:hint="cs"/>
          <w:rtl/>
        </w:rPr>
        <w:t xml:space="preserve">, </w:t>
      </w:r>
      <w:r w:rsidRPr="001A425E">
        <w:rPr>
          <w:rtl/>
        </w:rPr>
        <w:t xml:space="preserve">עבודת </w:t>
      </w:r>
      <w:r w:rsidR="00880D77">
        <w:rPr>
          <w:rFonts w:hint="cs"/>
          <w:rtl/>
        </w:rPr>
        <w:t>דוקטור</w:t>
      </w:r>
      <w:r>
        <w:rPr>
          <w:rFonts w:hint="cs"/>
          <w:rtl/>
        </w:rPr>
        <w:t xml:space="preserve">, אוניברסיטת </w:t>
      </w:r>
      <w:proofErr w:type="spellStart"/>
      <w:r>
        <w:rPr>
          <w:rFonts w:hint="cs"/>
          <w:rtl/>
        </w:rPr>
        <w:t>תל</w:t>
      </w:r>
      <w:r w:rsidR="00880D77">
        <w:rPr>
          <w:rFonts w:hint="eastAsia"/>
          <w:rtl/>
        </w:rPr>
        <w:t>־</w:t>
      </w:r>
      <w:r>
        <w:rPr>
          <w:rFonts w:hint="cs"/>
          <w:rtl/>
        </w:rPr>
        <w:t>אביב</w:t>
      </w:r>
      <w:proofErr w:type="spellEnd"/>
      <w:r>
        <w:rPr>
          <w:rFonts w:hint="cs"/>
          <w:rtl/>
        </w:rPr>
        <w:t>, 2011.</w:t>
      </w:r>
    </w:p>
  </w:endnote>
  <w:endnote w:id="21">
    <w:p w14:paraId="52E6F523" w14:textId="0CF982CA" w:rsidR="00417B56" w:rsidRDefault="00417B56" w:rsidP="00880D77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חשיבות</w:t>
      </w:r>
      <w:r w:rsidR="00880D77">
        <w:rPr>
          <w:rFonts w:hint="cs"/>
          <w:rtl/>
        </w:rPr>
        <w:t>ה של</w:t>
      </w:r>
      <w:r>
        <w:rPr>
          <w:rFonts w:hint="cs"/>
          <w:rtl/>
        </w:rPr>
        <w:t xml:space="preserve"> בניית בתים בארץ ישראל יכולה לה</w:t>
      </w:r>
      <w:r w:rsidR="00880D77">
        <w:rPr>
          <w:rFonts w:hint="cs"/>
          <w:rtl/>
        </w:rPr>
        <w:t>י</w:t>
      </w:r>
      <w:r>
        <w:rPr>
          <w:rFonts w:hint="cs"/>
          <w:rtl/>
        </w:rPr>
        <w:t>למד מן ה</w:t>
      </w:r>
      <w:r w:rsidR="00880D77">
        <w:rPr>
          <w:rFonts w:hint="cs"/>
          <w:rtl/>
        </w:rPr>
        <w:t>אמור ב</w:t>
      </w:r>
      <w:r>
        <w:rPr>
          <w:rFonts w:hint="cs"/>
          <w:rtl/>
        </w:rPr>
        <w:t xml:space="preserve">שולחן ערוך </w:t>
      </w:r>
      <w:r w:rsidR="00880D77">
        <w:rPr>
          <w:rFonts w:hint="cs"/>
          <w:rtl/>
        </w:rPr>
        <w:t>(</w:t>
      </w:r>
      <w:r>
        <w:rPr>
          <w:rFonts w:hint="cs"/>
          <w:rtl/>
        </w:rPr>
        <w:t>חו</w:t>
      </w:r>
      <w:r w:rsidR="00880D77">
        <w:rPr>
          <w:rFonts w:hint="cs"/>
          <w:rtl/>
        </w:rPr>
        <w:t xml:space="preserve">שן משפט, סימן </w:t>
      </w:r>
      <w:r>
        <w:rPr>
          <w:rFonts w:hint="cs"/>
          <w:rtl/>
        </w:rPr>
        <w:t>קפה,</w:t>
      </w:r>
      <w:r w:rsidR="00880D77">
        <w:rPr>
          <w:rFonts w:hint="cs"/>
          <w:rtl/>
        </w:rPr>
        <w:t xml:space="preserve"> סעיף </w:t>
      </w:r>
      <w:proofErr w:type="spellStart"/>
      <w:r>
        <w:rPr>
          <w:rFonts w:hint="cs"/>
          <w:rtl/>
        </w:rPr>
        <w:t>כו</w:t>
      </w:r>
      <w:proofErr w:type="spellEnd"/>
      <w:r w:rsidR="00880D77">
        <w:rPr>
          <w:rFonts w:hint="cs"/>
          <w:rtl/>
        </w:rPr>
        <w:t>)</w:t>
      </w:r>
      <w:r>
        <w:rPr>
          <w:rFonts w:hint="cs"/>
          <w:rtl/>
        </w:rPr>
        <w:t xml:space="preserve">: </w:t>
      </w:r>
      <w:r w:rsidRPr="00914E48">
        <w:rPr>
          <w:rtl/>
        </w:rPr>
        <w:t>"היה רוצה הלוקח לקנותה לבנות בה בתים</w:t>
      </w:r>
      <w:r w:rsidR="00880D77">
        <w:rPr>
          <w:rFonts w:hint="cs"/>
          <w:rtl/>
        </w:rPr>
        <w:t>,</w:t>
      </w:r>
      <w:r w:rsidRPr="00914E48">
        <w:rPr>
          <w:rtl/>
        </w:rPr>
        <w:t xml:space="preserve"> ובן </w:t>
      </w:r>
      <w:proofErr w:type="spellStart"/>
      <w:r w:rsidRPr="00914E48">
        <w:rPr>
          <w:rtl/>
        </w:rPr>
        <w:t>המיצר</w:t>
      </w:r>
      <w:proofErr w:type="spellEnd"/>
      <w:r w:rsidRPr="00914E48">
        <w:rPr>
          <w:rtl/>
        </w:rPr>
        <w:t xml:space="preserve"> רוצה </w:t>
      </w:r>
      <w:proofErr w:type="spellStart"/>
      <w:r w:rsidRPr="00914E48">
        <w:rPr>
          <w:rtl/>
        </w:rPr>
        <w:t>לזורעה</w:t>
      </w:r>
      <w:proofErr w:type="spellEnd"/>
      <w:r w:rsidRPr="00914E48">
        <w:rPr>
          <w:rtl/>
        </w:rPr>
        <w:t xml:space="preserve"> </w:t>
      </w:r>
      <w:r w:rsidR="00880D77">
        <w:rPr>
          <w:rtl/>
        </w:rPr>
        <w:t>–</w:t>
      </w:r>
      <w:r w:rsidR="00880D77">
        <w:rPr>
          <w:rFonts w:hint="cs"/>
          <w:rtl/>
        </w:rPr>
        <w:t xml:space="preserve"> </w:t>
      </w:r>
      <w:r w:rsidRPr="00914E48">
        <w:rPr>
          <w:rtl/>
        </w:rPr>
        <w:t xml:space="preserve">הלוקח זוכה משום ישוב הארץ ואין בה דין בן </w:t>
      </w:r>
      <w:proofErr w:type="spellStart"/>
      <w:r w:rsidRPr="00914E48">
        <w:rPr>
          <w:rtl/>
        </w:rPr>
        <w:t>המיצר</w:t>
      </w:r>
      <w:proofErr w:type="spellEnd"/>
      <w:r>
        <w:rPr>
          <w:rFonts w:hint="cs"/>
          <w:rtl/>
        </w:rPr>
        <w:t>". א</w:t>
      </w:r>
      <w:r w:rsidR="00880D77">
        <w:rPr>
          <w:rFonts w:hint="cs"/>
          <w:rtl/>
        </w:rPr>
        <w:t>ו</w:t>
      </w:r>
      <w:r>
        <w:rPr>
          <w:rFonts w:hint="cs"/>
          <w:rtl/>
        </w:rPr>
        <w:t>מ</w:t>
      </w:r>
      <w:r w:rsidR="00880D77">
        <w:rPr>
          <w:rFonts w:hint="cs"/>
          <w:rtl/>
        </w:rPr>
        <w:t>נם</w:t>
      </w:r>
      <w:r>
        <w:rPr>
          <w:rFonts w:hint="cs"/>
          <w:rtl/>
        </w:rPr>
        <w:t xml:space="preserve"> </w:t>
      </w:r>
      <w:r w:rsidR="00880D77">
        <w:rPr>
          <w:rtl/>
        </w:rPr>
        <w:t>–</w:t>
      </w:r>
      <w:r w:rsidR="00880D77">
        <w:rPr>
          <w:rFonts w:hint="cs"/>
          <w:rtl/>
        </w:rPr>
        <w:t xml:space="preserve"> כמבואר </w:t>
      </w:r>
      <w:r>
        <w:rPr>
          <w:rFonts w:hint="cs"/>
          <w:rtl/>
        </w:rPr>
        <w:t>שם</w:t>
      </w:r>
      <w:r w:rsidR="00880D77">
        <w:rPr>
          <w:rFonts w:hint="cs"/>
          <w:rtl/>
        </w:rPr>
        <w:t>,</w:t>
      </w:r>
      <w:r>
        <w:rPr>
          <w:rFonts w:hint="cs"/>
          <w:rtl/>
        </w:rPr>
        <w:t xml:space="preserve"> ו</w:t>
      </w:r>
      <w:r w:rsidR="00880D77">
        <w:rPr>
          <w:rFonts w:hint="cs"/>
          <w:rtl/>
        </w:rPr>
        <w:t xml:space="preserve">כן </w:t>
      </w:r>
      <w:proofErr w:type="spellStart"/>
      <w:r>
        <w:rPr>
          <w:rFonts w:hint="cs"/>
          <w:rtl/>
        </w:rPr>
        <w:t>ב</w:t>
      </w:r>
      <w:r w:rsidRPr="00914E48">
        <w:rPr>
          <w:rtl/>
        </w:rPr>
        <w:t>שו"ת</w:t>
      </w:r>
      <w:proofErr w:type="spellEnd"/>
      <w:r w:rsidRPr="00914E48">
        <w:rPr>
          <w:rtl/>
        </w:rPr>
        <w:t xml:space="preserve"> בית דוד</w:t>
      </w:r>
      <w:r>
        <w:rPr>
          <w:rFonts w:hint="cs"/>
          <w:rtl/>
        </w:rPr>
        <w:t xml:space="preserve">, </w:t>
      </w:r>
      <w:r w:rsidR="00880D77">
        <w:rPr>
          <w:rtl/>
        </w:rPr>
        <w:t>או</w:t>
      </w:r>
      <w:r w:rsidR="00880D77">
        <w:rPr>
          <w:rFonts w:hint="cs"/>
          <w:rtl/>
        </w:rPr>
        <w:t xml:space="preserve">רח </w:t>
      </w:r>
      <w:r w:rsidRPr="00914E48">
        <w:rPr>
          <w:rtl/>
        </w:rPr>
        <w:t>ח</w:t>
      </w:r>
      <w:r w:rsidR="00880D77">
        <w:rPr>
          <w:rFonts w:hint="cs"/>
          <w:rtl/>
        </w:rPr>
        <w:t>יים,</w:t>
      </w:r>
      <w:r w:rsidR="00880D77">
        <w:rPr>
          <w:rtl/>
        </w:rPr>
        <w:t xml:space="preserve"> סי</w:t>
      </w:r>
      <w:r w:rsidR="00880D77">
        <w:rPr>
          <w:rFonts w:hint="cs"/>
          <w:rtl/>
        </w:rPr>
        <w:t>מן</w:t>
      </w:r>
      <w:r w:rsidRPr="00914E48">
        <w:rPr>
          <w:rtl/>
        </w:rPr>
        <w:t xml:space="preserve"> </w:t>
      </w:r>
      <w:proofErr w:type="spellStart"/>
      <w:r w:rsidRPr="00914E48">
        <w:rPr>
          <w:rtl/>
        </w:rPr>
        <w:t>תט</w:t>
      </w:r>
      <w:proofErr w:type="spellEnd"/>
      <w:r>
        <w:rPr>
          <w:rFonts w:hint="cs"/>
          <w:rtl/>
        </w:rPr>
        <w:t xml:space="preserve"> </w:t>
      </w:r>
      <w:r w:rsidR="00880D77">
        <w:rPr>
          <w:rtl/>
        </w:rPr>
        <w:t>–</w:t>
      </w:r>
      <w:r>
        <w:rPr>
          <w:rFonts w:hint="cs"/>
          <w:rtl/>
        </w:rPr>
        <w:t>יש החולקים על פסק זה.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adasa Roso S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B7969" w14:textId="77777777" w:rsidR="00AE4359" w:rsidRDefault="00AE4359" w:rsidP="00FC4D5D">
    <w:pPr>
      <w:pStyle w:val="1"/>
      <w:jc w:val="center"/>
      <w:rPr>
        <w:rFonts w:cs="Guttman Keren"/>
        <w:b/>
        <w:bCs/>
        <w:color w:val="365F91"/>
        <w:spacing w:val="-10"/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CE0B06A" wp14:editId="62DCBC88">
              <wp:simplePos x="0" y="0"/>
              <wp:positionH relativeFrom="column">
                <wp:posOffset>-6350</wp:posOffset>
              </wp:positionH>
              <wp:positionV relativeFrom="paragraph">
                <wp:posOffset>113029</wp:posOffset>
              </wp:positionV>
              <wp:extent cx="6191885" cy="0"/>
              <wp:effectExtent l="0" t="19050" r="1841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A34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5pt;margin-top:8.9pt;width:487.5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" strokecolor="#0070c0" strokeweight="3pt">
              <v:shadow color="#243f60" opacity=".5" offset="1pt"/>
            </v:shape>
          </w:pict>
        </mc:Fallback>
      </mc:AlternateContent>
    </w:r>
    <w:r>
      <w:rPr>
        <w:rFonts w:cs="Guttman Keren"/>
        <w:b/>
        <w:bCs/>
        <w:color w:val="365F91"/>
        <w:spacing w:val="-10"/>
        <w:rtl/>
      </w:rPr>
      <w:t xml:space="preserve">         </w:t>
    </w:r>
    <w:r>
      <w:rPr>
        <w:rFonts w:cs="Guttman Keren"/>
        <w:b/>
        <w:bCs/>
        <w:color w:val="365F91"/>
        <w:spacing w:val="-10"/>
        <w:rtl/>
      </w:rPr>
      <w:t>-----</w:t>
    </w:r>
  </w:p>
  <w:p w14:paraId="5EAD6E5C" w14:textId="77777777" w:rsidR="00AE4359" w:rsidRPr="00E55679" w:rsidRDefault="00AE4359" w:rsidP="00B57B41">
    <w:pPr>
      <w:pStyle w:val="1"/>
      <w:jc w:val="center"/>
      <w:rPr>
        <w:rFonts w:cs="Guttman Keren"/>
        <w:color w:val="365F91"/>
        <w:spacing w:val="-10"/>
        <w:rtl/>
      </w:rPr>
    </w:pPr>
    <w:r w:rsidRPr="00E55679">
      <w:rPr>
        <w:rFonts w:cs="Guttman Keren"/>
        <w:b/>
        <w:bCs/>
        <w:color w:val="365F91"/>
        <w:spacing w:val="-10"/>
        <w:rtl/>
      </w:rPr>
      <w:t xml:space="preserve">משרדי </w:t>
    </w:r>
    <w:proofErr w:type="spellStart"/>
    <w:r w:rsidRPr="00E55679">
      <w:rPr>
        <w:rFonts w:cs="Guttman Keren"/>
        <w:b/>
        <w:bCs/>
        <w:color w:val="365F91"/>
        <w:spacing w:val="-10"/>
        <w:rtl/>
      </w:rPr>
      <w:t>צהר</w:t>
    </w:r>
    <w:proofErr w:type="spellEnd"/>
    <w:r w:rsidRPr="00E55679">
      <w:rPr>
        <w:rFonts w:cs="Guttman Keren"/>
        <w:color w:val="365F91"/>
        <w:spacing w:val="-10"/>
        <w:rtl/>
      </w:rPr>
      <w:t xml:space="preserve">: המלאכה 1 א.ת. הצפוני לוד, </w:t>
    </w:r>
    <w:r w:rsidRPr="00356886">
      <w:rPr>
        <w:rFonts w:cs="Guttman Keren"/>
        <w:b/>
        <w:bCs/>
        <w:color w:val="365F91"/>
        <w:spacing w:val="-10"/>
        <w:sz w:val="18"/>
        <w:szCs w:val="22"/>
        <w:rtl/>
      </w:rPr>
      <w:t>71520</w:t>
    </w:r>
    <w:r w:rsidRPr="00E55679">
      <w:rPr>
        <w:rFonts w:cs="Guttman Keren"/>
        <w:color w:val="365F91"/>
        <w:spacing w:val="-10"/>
        <w:rtl/>
      </w:rPr>
      <w:t xml:space="preserve">  </w:t>
    </w:r>
    <w:r>
      <w:rPr>
        <w:rFonts w:cs="Guttman Keren"/>
        <w:color w:val="365F91"/>
        <w:spacing w:val="-10"/>
        <w:rtl/>
      </w:rPr>
      <w:t xml:space="preserve">   </w:t>
    </w:r>
    <w:r w:rsidRPr="00E55679">
      <w:rPr>
        <w:rFonts w:cs="Guttman Keren"/>
        <w:color w:val="365F91"/>
        <w:spacing w:val="-10"/>
        <w:rtl/>
      </w:rPr>
      <w:t>טל</w:t>
    </w:r>
    <w:r>
      <w:rPr>
        <w:rFonts w:cs="Guttman Keren"/>
        <w:color w:val="365F91"/>
        <w:spacing w:val="-10"/>
      </w:rPr>
      <w:t xml:space="preserve"> :</w:t>
    </w:r>
    <w:r w:rsidRPr="00E55679">
      <w:rPr>
        <w:rFonts w:cs="Guttman Keren"/>
        <w:color w:val="365F91"/>
        <w:spacing w:val="-10"/>
        <w:rtl/>
      </w:rPr>
      <w:t xml:space="preserve"> 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052-3286269</w:t>
    </w:r>
    <w:r w:rsidRPr="00356886">
      <w:rPr>
        <w:rFonts w:cs="Guttman Keren"/>
        <w:color w:val="365F91"/>
        <w:spacing w:val="-10"/>
        <w:sz w:val="18"/>
        <w:szCs w:val="22"/>
        <w:rtl/>
      </w:rPr>
      <w:t xml:space="preserve">   </w:t>
    </w:r>
    <w:r>
      <w:rPr>
        <w:rFonts w:cs="Guttman Keren"/>
        <w:color w:val="365F91"/>
        <w:spacing w:val="-10"/>
        <w:sz w:val="18"/>
        <w:szCs w:val="22"/>
        <w:rtl/>
      </w:rPr>
      <w:t xml:space="preserve">  </w:t>
    </w:r>
    <w:r w:rsidRPr="00E55679">
      <w:rPr>
        <w:rFonts w:cs="Guttman Keren"/>
        <w:color w:val="365F91"/>
        <w:spacing w:val="-10"/>
        <w:rtl/>
      </w:rPr>
      <w:t>פקס</w:t>
    </w:r>
    <w:r>
      <w:rPr>
        <w:rFonts w:cs="Guttman Keren"/>
        <w:color w:val="365F91"/>
        <w:spacing w:val="-10"/>
        <w:rtl/>
      </w:rPr>
      <w:t>:</w:t>
    </w:r>
    <w:r w:rsidRPr="00E55679">
      <w:rPr>
        <w:rFonts w:cs="Guttman Keren"/>
        <w:color w:val="365F91"/>
        <w:spacing w:val="-10"/>
        <w:rtl/>
      </w:rPr>
      <w:t xml:space="preserve"> 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153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-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523286269</w:t>
    </w:r>
  </w:p>
  <w:p w14:paraId="3E6FA89F" w14:textId="77777777" w:rsidR="00AE4359" w:rsidRPr="00E55679" w:rsidRDefault="002F25D8" w:rsidP="00B57B41">
    <w:pPr>
      <w:jc w:val="center"/>
      <w:rPr>
        <w:rFonts w:cs="Guttman Keren"/>
        <w:b/>
        <w:bCs/>
        <w:color w:val="365F91"/>
        <w:spacing w:val="8"/>
        <w:sz w:val="24"/>
        <w:rtl/>
      </w:rPr>
    </w:pPr>
    <w:hyperlink r:id="rId1" w:history="1">
      <w:r w:rsidR="00AE4359" w:rsidRPr="00175902">
        <w:rPr>
          <w:b/>
          <w:bCs/>
          <w:color w:val="365F91"/>
          <w:spacing w:val="-10"/>
          <w:sz w:val="26"/>
          <w:szCs w:val="26"/>
        </w:rPr>
        <w:t>www.tzohar.org.il</w:t>
      </w:r>
    </w:hyperlink>
    <w:r w:rsidR="00AE4359" w:rsidRPr="00175902">
      <w:rPr>
        <w:rFonts w:cs="Guttman Keren"/>
        <w:b/>
        <w:bCs/>
        <w:color w:val="365F91"/>
        <w:spacing w:val="8"/>
        <w:sz w:val="30"/>
        <w:szCs w:val="30"/>
        <w:rtl/>
      </w:rPr>
      <w:t xml:space="preserve"> </w:t>
    </w:r>
    <w:r w:rsidR="00AE4359" w:rsidRPr="00175902">
      <w:rPr>
        <w:rFonts w:cs="Guttman Keren"/>
        <w:b/>
        <w:bCs/>
        <w:color w:val="365F91"/>
        <w:spacing w:val="8"/>
        <w:sz w:val="24"/>
        <w:rtl/>
      </w:rPr>
      <w:t xml:space="preserve">     </w:t>
    </w:r>
    <w:proofErr w:type="spellStart"/>
    <w:r w:rsidR="00AE4359" w:rsidRPr="00E55679">
      <w:rPr>
        <w:rFonts w:cs="Guttman Keren"/>
        <w:b/>
        <w:bCs/>
        <w:color w:val="365F91"/>
        <w:spacing w:val="8"/>
        <w:sz w:val="24"/>
        <w:rtl/>
      </w:rPr>
      <w:t>צהר</w:t>
    </w:r>
    <w:proofErr w:type="spellEnd"/>
    <w:r w:rsidR="00AE4359" w:rsidRPr="00E55679">
      <w:rPr>
        <w:rFonts w:cs="Guttman Keren"/>
        <w:b/>
        <w:bCs/>
        <w:color w:val="365F91"/>
        <w:spacing w:val="8"/>
        <w:sz w:val="24"/>
        <w:rtl/>
      </w:rPr>
      <w:t xml:space="preserve"> </w:t>
    </w:r>
    <w:r w:rsidR="00AE4359">
      <w:rPr>
        <w:rFonts w:cs="Guttman Keren"/>
        <w:b/>
        <w:bCs/>
        <w:color w:val="365F91"/>
        <w:spacing w:val="8"/>
        <w:sz w:val="24"/>
        <w:rtl/>
      </w:rPr>
      <w:t>לחקיקה</w:t>
    </w:r>
    <w:r w:rsidR="00AE4359" w:rsidRPr="00E55679">
      <w:rPr>
        <w:rFonts w:cs="Guttman Keren"/>
        <w:b/>
        <w:bCs/>
        <w:color w:val="365F91"/>
        <w:spacing w:val="8"/>
        <w:sz w:val="24"/>
        <w:rtl/>
      </w:rPr>
      <w:t xml:space="preserve">: </w:t>
    </w:r>
    <w:r w:rsidR="00AE4359">
      <w:rPr>
        <w:rFonts w:cs="Guttman Keren"/>
        <w:b/>
        <w:bCs/>
        <w:color w:val="365F91"/>
        <w:spacing w:val="8"/>
        <w:sz w:val="24"/>
      </w:rPr>
      <w:t>Ganzel</w:t>
    </w:r>
    <w:r w:rsidR="00AE4359" w:rsidRPr="00E55679">
      <w:rPr>
        <w:rFonts w:cs="Guttman Keren"/>
        <w:b/>
        <w:bCs/>
        <w:color w:val="365F91"/>
        <w:spacing w:val="8"/>
        <w:sz w:val="24"/>
      </w:rPr>
      <w:t>@tzohar.org.il</w:t>
    </w:r>
  </w:p>
  <w:p w14:paraId="5CA4B680" w14:textId="77777777" w:rsidR="00AE4359" w:rsidRPr="00E55679" w:rsidRDefault="00AE4359">
    <w:pPr>
      <w:pStyle w:val="a5"/>
      <w:rPr>
        <w:color w:val="365F9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6452E" w14:textId="77777777" w:rsidR="002F25D8" w:rsidRDefault="002F25D8">
      <w:r>
        <w:separator/>
      </w:r>
    </w:p>
  </w:footnote>
  <w:footnote w:type="continuationSeparator" w:id="0">
    <w:p w14:paraId="35373DD0" w14:textId="77777777" w:rsidR="002F25D8" w:rsidRDefault="002F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6A34" w14:textId="77777777" w:rsidR="00AE4359" w:rsidRDefault="00AE4359">
    <w:pPr>
      <w:pStyle w:val="a3"/>
      <w:framePr w:wrap="around" w:vAnchor="text" w:hAnchor="margin" w:y="1"/>
      <w:rPr>
        <w:rStyle w:val="a7"/>
        <w:rFonts w:cs="Miriam"/>
        <w:rtl/>
      </w:rPr>
    </w:pPr>
    <w:r>
      <w:rPr>
        <w:rStyle w:val="a7"/>
        <w:rFonts w:cs="Miriam"/>
      </w:rPr>
      <w:fldChar w:fldCharType="begin"/>
    </w:r>
    <w:r>
      <w:rPr>
        <w:rStyle w:val="a7"/>
        <w:rFonts w:cs="Miriam"/>
      </w:rPr>
      <w:instrText xml:space="preserve">PAGE  </w:instrText>
    </w:r>
    <w:r>
      <w:rPr>
        <w:rStyle w:val="a7"/>
        <w:rFonts w:cs="Miriam"/>
      </w:rPr>
      <w:fldChar w:fldCharType="separate"/>
    </w:r>
    <w:r>
      <w:rPr>
        <w:rStyle w:val="a7"/>
        <w:rFonts w:cs="Miriam"/>
        <w:rtl/>
      </w:rPr>
      <w:t>1</w:t>
    </w:r>
    <w:r>
      <w:rPr>
        <w:rStyle w:val="a7"/>
        <w:rFonts w:cs="Miriam"/>
      </w:rPr>
      <w:fldChar w:fldCharType="end"/>
    </w:r>
  </w:p>
  <w:p w14:paraId="3900FC19" w14:textId="77777777" w:rsidR="00AE4359" w:rsidRDefault="00AE4359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7A8E9" w14:textId="77777777" w:rsidR="00AE4359" w:rsidRPr="00A81E14" w:rsidRDefault="00AE4359" w:rsidP="00A81E14">
    <w:pPr>
      <w:pStyle w:val="a3"/>
      <w:ind w:right="360"/>
      <w:rPr>
        <w:rFonts w:cs="Guttman Keren"/>
        <w:b/>
        <w:bCs/>
        <w:color w:val="365F91"/>
        <w:sz w:val="34"/>
        <w:szCs w:val="34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60C6DA0A" wp14:editId="47A79FDA">
              <wp:simplePos x="0" y="0"/>
              <wp:positionH relativeFrom="page">
                <wp:posOffset>387350</wp:posOffset>
              </wp:positionH>
              <wp:positionV relativeFrom="paragraph">
                <wp:posOffset>-19685</wp:posOffset>
              </wp:positionV>
              <wp:extent cx="585216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516" y="20829"/>
                  <wp:lineTo x="21516" y="0"/>
                  <wp:lineTo x="0" y="0"/>
                </wp:wrapPolygon>
              </wp:wrapThrough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124BB" w14:textId="77777777" w:rsidR="00AE4359" w:rsidRDefault="00AE4359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cs="Guttman Keren" w:hint="cs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צ</w:t>
                          </w:r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הר</w:t>
                          </w:r>
                          <w:proofErr w:type="spellEnd"/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לחקיקה</w:t>
                          </w:r>
                        </w:p>
                        <w:p w14:paraId="373ADAD3" w14:textId="77777777" w:rsidR="00AE4359" w:rsidRPr="00E55679" w:rsidRDefault="00AE4359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r w:rsidRPr="00E55679">
                            <w:rPr>
                              <w:rFonts w:cs="Guttman Keren"/>
                              <w:color w:val="365F91"/>
                              <w:sz w:val="26"/>
                              <w:szCs w:val="26"/>
                              <w:rtl/>
                            </w:rPr>
                            <w:t>מבט יהודי לחקיקה בישראל</w:t>
                          </w:r>
                        </w:p>
                        <w:p w14:paraId="67E98FAA" w14:textId="77777777" w:rsidR="00AE4359" w:rsidRDefault="00AE4359" w:rsidP="00744206">
                          <w:pPr>
                            <w:pStyle w:val="1"/>
                            <w:jc w:val="left"/>
                            <w:rPr>
                              <w:rFonts w:cs="David"/>
                              <w:spacing w:val="-1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6DA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5pt;margin-top:-1.55pt;width:460.8pt;height:4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NqgwIAAA8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" o:allowincell="f" stroked="f">
              <v:textbox>
                <w:txbxContent>
                  <w:p w14:paraId="0C9124BB" w14:textId="77777777" w:rsidR="00AE4359" w:rsidRDefault="00AE4359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r>
                      <w:rPr>
                        <w:rFonts w:cs="Guttman Keren" w:hint="cs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צ</w:t>
                    </w:r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 xml:space="preserve">הר </w:t>
                    </w:r>
                    <w:r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לחקיקה</w:t>
                    </w:r>
                  </w:p>
                  <w:p w14:paraId="373ADAD3" w14:textId="77777777" w:rsidR="00AE4359" w:rsidRPr="00E55679" w:rsidRDefault="00AE4359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r w:rsidRPr="00E55679">
                      <w:rPr>
                        <w:rFonts w:cs="Guttman Keren"/>
                        <w:color w:val="365F91"/>
                        <w:sz w:val="26"/>
                        <w:szCs w:val="26"/>
                        <w:rtl/>
                      </w:rPr>
                      <w:t>מבט יהודי לחקיקה בישראל</w:t>
                    </w:r>
                  </w:p>
                  <w:p w14:paraId="67E98FAA" w14:textId="77777777" w:rsidR="00AE4359" w:rsidRDefault="00AE4359" w:rsidP="00744206">
                    <w:pPr>
                      <w:pStyle w:val="1"/>
                      <w:jc w:val="left"/>
                      <w:rPr>
                        <w:rFonts w:cs="David"/>
                        <w:spacing w:val="-10"/>
                        <w:rtl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4AC4F75" wp14:editId="6170E623">
              <wp:simplePos x="0" y="0"/>
              <wp:positionH relativeFrom="margin">
                <wp:posOffset>-6350</wp:posOffset>
              </wp:positionH>
              <wp:positionV relativeFrom="margin">
                <wp:posOffset>-267335</wp:posOffset>
              </wp:positionV>
              <wp:extent cx="5615940" cy="0"/>
              <wp:effectExtent l="0" t="19050" r="3810" b="19050"/>
              <wp:wrapSquare wrapText="bothSides"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5BE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-.5pt;margin-top:-21.05pt;width:442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" strokecolor="#0070c0" strokeweight="3pt">
              <v:shadow color="#243f60" opacity=".5" offset="1pt"/>
              <w10:wrap type="square" anchorx="margin" anchory="margin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59776" behindDoc="0" locked="0" layoutInCell="1" allowOverlap="1" wp14:anchorId="4339B41E" wp14:editId="17BFAFDA">
          <wp:simplePos x="0" y="0"/>
          <wp:positionH relativeFrom="column">
            <wp:posOffset>5695950</wp:posOffset>
          </wp:positionH>
          <wp:positionV relativeFrom="paragraph">
            <wp:posOffset>-195580</wp:posOffset>
          </wp:positionV>
          <wp:extent cx="810260" cy="874395"/>
          <wp:effectExtent l="0" t="0" r="8890" b="1905"/>
          <wp:wrapSquare wrapText="bothSides"/>
          <wp:docPr id="5" name="תמונה 10" descr="90811_Tzoha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 descr="90811_Tzoha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8752" behindDoc="0" locked="0" layoutInCell="1" allowOverlap="1" wp14:anchorId="2FCA0694" wp14:editId="746B2112">
          <wp:simplePos x="0" y="0"/>
          <wp:positionH relativeFrom="column">
            <wp:posOffset>-6350</wp:posOffset>
          </wp:positionH>
          <wp:positionV relativeFrom="paragraph">
            <wp:posOffset>-285115</wp:posOffset>
          </wp:positionV>
          <wp:extent cx="600075" cy="723900"/>
          <wp:effectExtent l="0" t="0" r="9525" b="0"/>
          <wp:wrapNone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2" t="17670" r="17603" b="15950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E5E"/>
    <w:multiLevelType w:val="hybridMultilevel"/>
    <w:tmpl w:val="CDDE7D58"/>
    <w:lvl w:ilvl="0" w:tplc="30E635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F2CC6"/>
    <w:multiLevelType w:val="hybridMultilevel"/>
    <w:tmpl w:val="D4845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454E"/>
    <w:multiLevelType w:val="hybridMultilevel"/>
    <w:tmpl w:val="AE488CF6"/>
    <w:lvl w:ilvl="0" w:tplc="9C9EC5E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>
      <w:start w:val="1"/>
      <w:numFmt w:val="decimal"/>
      <w:lvlText w:val="%4."/>
      <w:lvlJc w:val="left"/>
      <w:pPr>
        <w:ind w:left="2860" w:hanging="360"/>
      </w:pPr>
    </w:lvl>
    <w:lvl w:ilvl="4" w:tplc="04090019">
      <w:start w:val="1"/>
      <w:numFmt w:val="lowerLetter"/>
      <w:lvlText w:val="%5."/>
      <w:lvlJc w:val="left"/>
      <w:pPr>
        <w:ind w:left="3580" w:hanging="360"/>
      </w:pPr>
    </w:lvl>
    <w:lvl w:ilvl="5" w:tplc="0409001B">
      <w:start w:val="1"/>
      <w:numFmt w:val="lowerRoman"/>
      <w:lvlText w:val="%6."/>
      <w:lvlJc w:val="right"/>
      <w:pPr>
        <w:ind w:left="4300" w:hanging="180"/>
      </w:pPr>
    </w:lvl>
    <w:lvl w:ilvl="6" w:tplc="0409000F">
      <w:start w:val="1"/>
      <w:numFmt w:val="decimal"/>
      <w:lvlText w:val="%7."/>
      <w:lvlJc w:val="left"/>
      <w:pPr>
        <w:ind w:left="5020" w:hanging="360"/>
      </w:pPr>
    </w:lvl>
    <w:lvl w:ilvl="7" w:tplc="04090019">
      <w:start w:val="1"/>
      <w:numFmt w:val="lowerLetter"/>
      <w:lvlText w:val="%8."/>
      <w:lvlJc w:val="left"/>
      <w:pPr>
        <w:ind w:left="5740" w:hanging="360"/>
      </w:pPr>
    </w:lvl>
    <w:lvl w:ilvl="8" w:tplc="0409001B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AF471D7"/>
    <w:multiLevelType w:val="hybridMultilevel"/>
    <w:tmpl w:val="F9C45D0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74875"/>
    <w:multiLevelType w:val="hybridMultilevel"/>
    <w:tmpl w:val="CDFA8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44BF0"/>
    <w:multiLevelType w:val="hybridMultilevel"/>
    <w:tmpl w:val="D6E6E7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611BF"/>
    <w:multiLevelType w:val="hybridMultilevel"/>
    <w:tmpl w:val="ECEA6A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D5BE8"/>
    <w:multiLevelType w:val="hybridMultilevel"/>
    <w:tmpl w:val="86EC8162"/>
    <w:lvl w:ilvl="0" w:tplc="7B68A228">
      <w:start w:val="1"/>
      <w:numFmt w:val="hebrew1"/>
      <w:lvlText w:val="%1."/>
      <w:lvlJc w:val="left"/>
      <w:pPr>
        <w:ind w:left="71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8" w15:restartNumberingAfterBreak="0">
    <w:nsid w:val="292F2DDC"/>
    <w:multiLevelType w:val="hybridMultilevel"/>
    <w:tmpl w:val="2FF8A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E27303"/>
    <w:multiLevelType w:val="hybridMultilevel"/>
    <w:tmpl w:val="9DDC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8756E3"/>
    <w:multiLevelType w:val="hybridMultilevel"/>
    <w:tmpl w:val="1DC4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C23EA"/>
    <w:multiLevelType w:val="hybridMultilevel"/>
    <w:tmpl w:val="F056C962"/>
    <w:lvl w:ilvl="0" w:tplc="04090013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2121F76"/>
    <w:multiLevelType w:val="hybridMultilevel"/>
    <w:tmpl w:val="72CE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8D7ED6"/>
    <w:multiLevelType w:val="hybridMultilevel"/>
    <w:tmpl w:val="EC54F396"/>
    <w:lvl w:ilvl="0" w:tplc="87CE4EFE">
      <w:start w:val="1"/>
      <w:numFmt w:val="decimal"/>
      <w:lvlText w:val="(%1)"/>
      <w:lvlJc w:val="left"/>
      <w:pPr>
        <w:ind w:left="914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AD40CC"/>
    <w:multiLevelType w:val="hybridMultilevel"/>
    <w:tmpl w:val="2E386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3E09EF"/>
    <w:multiLevelType w:val="hybridMultilevel"/>
    <w:tmpl w:val="7B20E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03357"/>
    <w:multiLevelType w:val="hybridMultilevel"/>
    <w:tmpl w:val="236C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AF436A"/>
    <w:multiLevelType w:val="hybridMultilevel"/>
    <w:tmpl w:val="A5982FA4"/>
    <w:lvl w:ilvl="0" w:tplc="4E28B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B09F2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3B2C70"/>
    <w:multiLevelType w:val="hybridMultilevel"/>
    <w:tmpl w:val="BC0A6BD4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22378E"/>
    <w:multiLevelType w:val="hybridMultilevel"/>
    <w:tmpl w:val="C074B972"/>
    <w:lvl w:ilvl="0" w:tplc="FFFFFFFF"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7FC42E1"/>
    <w:multiLevelType w:val="hybridMultilevel"/>
    <w:tmpl w:val="00DC4C8A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C70B81"/>
    <w:multiLevelType w:val="hybridMultilevel"/>
    <w:tmpl w:val="09D221CE"/>
    <w:lvl w:ilvl="0" w:tplc="3E384528">
      <w:start w:val="1"/>
      <w:numFmt w:val="hebrew1"/>
      <w:lvlText w:val="%1."/>
      <w:lvlJc w:val="left"/>
      <w:pPr>
        <w:ind w:left="720" w:hanging="360"/>
      </w:pPr>
      <w:rPr>
        <w:rFonts w:ascii="Times New Roman" w:eastAsia="Times New Roman" w:hAnsi="Times New Roman" w:cs="David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D1CC2"/>
    <w:multiLevelType w:val="hybridMultilevel"/>
    <w:tmpl w:val="D8F2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A4157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DC707D"/>
    <w:multiLevelType w:val="hybridMultilevel"/>
    <w:tmpl w:val="57BAD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B2C5B"/>
    <w:multiLevelType w:val="hybridMultilevel"/>
    <w:tmpl w:val="9F3081E0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94A430E"/>
    <w:multiLevelType w:val="hybridMultilevel"/>
    <w:tmpl w:val="8B1A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CA0AB7"/>
    <w:multiLevelType w:val="hybridMultilevel"/>
    <w:tmpl w:val="959C2E50"/>
    <w:lvl w:ilvl="0" w:tplc="181C3F54">
      <w:start w:val="1"/>
      <w:numFmt w:val="decimal"/>
      <w:lvlText w:val="%1."/>
      <w:lvlJc w:val="left"/>
      <w:pPr>
        <w:ind w:left="714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29" w15:restartNumberingAfterBreak="0">
    <w:nsid w:val="61C21441"/>
    <w:multiLevelType w:val="hybridMultilevel"/>
    <w:tmpl w:val="81AC1EE4"/>
    <w:lvl w:ilvl="0" w:tplc="C130CC8A">
      <w:start w:val="1"/>
      <w:numFmt w:val="none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421667"/>
    <w:multiLevelType w:val="hybridMultilevel"/>
    <w:tmpl w:val="ECB80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7C41A3"/>
    <w:multiLevelType w:val="hybridMultilevel"/>
    <w:tmpl w:val="5C82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F70C24"/>
    <w:multiLevelType w:val="hybridMultilevel"/>
    <w:tmpl w:val="04A8EF4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B50E66"/>
    <w:multiLevelType w:val="hybridMultilevel"/>
    <w:tmpl w:val="180E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9233D4"/>
    <w:multiLevelType w:val="hybridMultilevel"/>
    <w:tmpl w:val="1A5A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20987"/>
    <w:multiLevelType w:val="hybridMultilevel"/>
    <w:tmpl w:val="7A3C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856070"/>
    <w:multiLevelType w:val="hybridMultilevel"/>
    <w:tmpl w:val="9E44038E"/>
    <w:lvl w:ilvl="0" w:tplc="81CCDAE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7" w15:restartNumberingAfterBreak="0">
    <w:nsid w:val="7E6C3A87"/>
    <w:multiLevelType w:val="hybridMultilevel"/>
    <w:tmpl w:val="FBF217BC"/>
    <w:lvl w:ilvl="0" w:tplc="B478E90C">
      <w:start w:val="1"/>
      <w:numFmt w:val="hebrew1"/>
      <w:lvlText w:val="(%1)"/>
      <w:lvlJc w:val="left"/>
      <w:pPr>
        <w:ind w:left="107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num w:numId="1">
    <w:abstractNumId w:val="29"/>
  </w:num>
  <w:num w:numId="2">
    <w:abstractNumId w:val="14"/>
  </w:num>
  <w:num w:numId="3">
    <w:abstractNumId w:val="17"/>
  </w:num>
  <w:num w:numId="4">
    <w:abstractNumId w:val="20"/>
  </w:num>
  <w:num w:numId="5">
    <w:abstractNumId w:val="3"/>
  </w:num>
  <w:num w:numId="6">
    <w:abstractNumId w:val="19"/>
  </w:num>
  <w:num w:numId="7">
    <w:abstractNumId w:val="1"/>
  </w:num>
  <w:num w:numId="8">
    <w:abstractNumId w:val="25"/>
  </w:num>
  <w:num w:numId="9">
    <w:abstractNumId w:val="4"/>
  </w:num>
  <w:num w:numId="10">
    <w:abstractNumId w:val="26"/>
  </w:num>
  <w:num w:numId="11">
    <w:abstractNumId w:val="32"/>
  </w:num>
  <w:num w:numId="12">
    <w:abstractNumId w:val="15"/>
  </w:num>
  <w:num w:numId="13">
    <w:abstractNumId w:val="34"/>
  </w:num>
  <w:num w:numId="14">
    <w:abstractNumId w:val="30"/>
  </w:num>
  <w:num w:numId="15">
    <w:abstractNumId w:val="11"/>
  </w:num>
  <w:num w:numId="16">
    <w:abstractNumId w:val="8"/>
  </w:num>
  <w:num w:numId="17">
    <w:abstractNumId w:val="21"/>
  </w:num>
  <w:num w:numId="18">
    <w:abstractNumId w:val="24"/>
  </w:num>
  <w:num w:numId="19">
    <w:abstractNumId w:val="18"/>
  </w:num>
  <w:num w:numId="20">
    <w:abstractNumId w:val="6"/>
  </w:num>
  <w:num w:numId="21">
    <w:abstractNumId w:val="10"/>
  </w:num>
  <w:num w:numId="22">
    <w:abstractNumId w:val="5"/>
  </w:num>
  <w:num w:numId="23">
    <w:abstractNumId w:val="31"/>
  </w:num>
  <w:num w:numId="24">
    <w:abstractNumId w:val="23"/>
  </w:num>
  <w:num w:numId="25">
    <w:abstractNumId w:val="16"/>
  </w:num>
  <w:num w:numId="26">
    <w:abstractNumId w:val="27"/>
  </w:num>
  <w:num w:numId="27">
    <w:abstractNumId w:val="9"/>
  </w:num>
  <w:num w:numId="28">
    <w:abstractNumId w:val="35"/>
  </w:num>
  <w:num w:numId="29">
    <w:abstractNumId w:val="12"/>
  </w:num>
  <w:num w:numId="30">
    <w:abstractNumId w:val="36"/>
  </w:num>
  <w:num w:numId="31">
    <w:abstractNumId w:val="33"/>
  </w:num>
  <w:num w:numId="32">
    <w:abstractNumId w:val="0"/>
  </w:num>
  <w:num w:numId="33">
    <w:abstractNumId w:val="7"/>
  </w:num>
  <w:num w:numId="34">
    <w:abstractNumId w:val="28"/>
  </w:num>
  <w:num w:numId="35">
    <w:abstractNumId w:val="13"/>
  </w:num>
  <w:num w:numId="36">
    <w:abstractNumId w:val="37"/>
  </w:num>
  <w:num w:numId="37">
    <w:abstractNumId w:val="2"/>
  </w:num>
  <w:num w:numId="38">
    <w:abstractNumId w:val="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59"/>
    <w:rsid w:val="0000267A"/>
    <w:rsid w:val="0001496B"/>
    <w:rsid w:val="00022AF4"/>
    <w:rsid w:val="00027EB6"/>
    <w:rsid w:val="00036B4D"/>
    <w:rsid w:val="0005412E"/>
    <w:rsid w:val="00056F25"/>
    <w:rsid w:val="000756B2"/>
    <w:rsid w:val="00075E20"/>
    <w:rsid w:val="00080161"/>
    <w:rsid w:val="0008360E"/>
    <w:rsid w:val="0008394C"/>
    <w:rsid w:val="000903A3"/>
    <w:rsid w:val="000A33E2"/>
    <w:rsid w:val="000A70BC"/>
    <w:rsid w:val="000B09CD"/>
    <w:rsid w:val="000B139D"/>
    <w:rsid w:val="000B1A94"/>
    <w:rsid w:val="000B2497"/>
    <w:rsid w:val="000B56C3"/>
    <w:rsid w:val="000B6603"/>
    <w:rsid w:val="000C01E5"/>
    <w:rsid w:val="000C3071"/>
    <w:rsid w:val="000C6ED2"/>
    <w:rsid w:val="000D4D3E"/>
    <w:rsid w:val="000D7412"/>
    <w:rsid w:val="000E3627"/>
    <w:rsid w:val="000F49A5"/>
    <w:rsid w:val="000F6F50"/>
    <w:rsid w:val="001000BC"/>
    <w:rsid w:val="00107B9B"/>
    <w:rsid w:val="00110009"/>
    <w:rsid w:val="00114F54"/>
    <w:rsid w:val="001236B6"/>
    <w:rsid w:val="00126278"/>
    <w:rsid w:val="00126F03"/>
    <w:rsid w:val="001273D3"/>
    <w:rsid w:val="00137408"/>
    <w:rsid w:val="00142BFA"/>
    <w:rsid w:val="001525AD"/>
    <w:rsid w:val="00160D00"/>
    <w:rsid w:val="0017536C"/>
    <w:rsid w:val="00175902"/>
    <w:rsid w:val="00176A7E"/>
    <w:rsid w:val="00182988"/>
    <w:rsid w:val="00192176"/>
    <w:rsid w:val="001A02B8"/>
    <w:rsid w:val="001A676B"/>
    <w:rsid w:val="001A7452"/>
    <w:rsid w:val="001A7990"/>
    <w:rsid w:val="001B3667"/>
    <w:rsid w:val="001B7AA5"/>
    <w:rsid w:val="001C5B8B"/>
    <w:rsid w:val="001D1B5D"/>
    <w:rsid w:val="001D600E"/>
    <w:rsid w:val="001D7540"/>
    <w:rsid w:val="001E6265"/>
    <w:rsid w:val="001F04B0"/>
    <w:rsid w:val="001F0D84"/>
    <w:rsid w:val="001F6B2B"/>
    <w:rsid w:val="00202C6F"/>
    <w:rsid w:val="002108CF"/>
    <w:rsid w:val="00210E16"/>
    <w:rsid w:val="00213587"/>
    <w:rsid w:val="0021631E"/>
    <w:rsid w:val="002303E5"/>
    <w:rsid w:val="002478E6"/>
    <w:rsid w:val="002511DB"/>
    <w:rsid w:val="002527C1"/>
    <w:rsid w:val="00255ABB"/>
    <w:rsid w:val="002613EA"/>
    <w:rsid w:val="00261C1D"/>
    <w:rsid w:val="002640BB"/>
    <w:rsid w:val="002653DB"/>
    <w:rsid w:val="002678C3"/>
    <w:rsid w:val="00275368"/>
    <w:rsid w:val="00277085"/>
    <w:rsid w:val="00287788"/>
    <w:rsid w:val="002937D8"/>
    <w:rsid w:val="002A2B81"/>
    <w:rsid w:val="002A424E"/>
    <w:rsid w:val="002A474B"/>
    <w:rsid w:val="002B5E65"/>
    <w:rsid w:val="002C12D4"/>
    <w:rsid w:val="002C327E"/>
    <w:rsid w:val="002D3E09"/>
    <w:rsid w:val="002D765B"/>
    <w:rsid w:val="002E4828"/>
    <w:rsid w:val="002E5D8D"/>
    <w:rsid w:val="002E7FC6"/>
    <w:rsid w:val="002F07B6"/>
    <w:rsid w:val="002F25D8"/>
    <w:rsid w:val="002F5045"/>
    <w:rsid w:val="003007EC"/>
    <w:rsid w:val="003021AE"/>
    <w:rsid w:val="00311696"/>
    <w:rsid w:val="00311A6B"/>
    <w:rsid w:val="00313F97"/>
    <w:rsid w:val="0031432E"/>
    <w:rsid w:val="003164C2"/>
    <w:rsid w:val="003302BF"/>
    <w:rsid w:val="00331DEB"/>
    <w:rsid w:val="003322BC"/>
    <w:rsid w:val="00340A80"/>
    <w:rsid w:val="003426C4"/>
    <w:rsid w:val="00344A46"/>
    <w:rsid w:val="0035060B"/>
    <w:rsid w:val="00351DDF"/>
    <w:rsid w:val="0035406E"/>
    <w:rsid w:val="00354D01"/>
    <w:rsid w:val="00356886"/>
    <w:rsid w:val="00365364"/>
    <w:rsid w:val="0036732B"/>
    <w:rsid w:val="00367D14"/>
    <w:rsid w:val="00375703"/>
    <w:rsid w:val="00383943"/>
    <w:rsid w:val="00391376"/>
    <w:rsid w:val="0039560E"/>
    <w:rsid w:val="00396A89"/>
    <w:rsid w:val="003A09B1"/>
    <w:rsid w:val="003A2265"/>
    <w:rsid w:val="003B339E"/>
    <w:rsid w:val="003C0419"/>
    <w:rsid w:val="003C0FB5"/>
    <w:rsid w:val="003C121A"/>
    <w:rsid w:val="003C3363"/>
    <w:rsid w:val="003D30AA"/>
    <w:rsid w:val="003D6C92"/>
    <w:rsid w:val="003E28E3"/>
    <w:rsid w:val="003E2EBE"/>
    <w:rsid w:val="003E4627"/>
    <w:rsid w:val="003F10E8"/>
    <w:rsid w:val="003F6BE1"/>
    <w:rsid w:val="004032FE"/>
    <w:rsid w:val="0041121B"/>
    <w:rsid w:val="0041595D"/>
    <w:rsid w:val="0041684D"/>
    <w:rsid w:val="00417B56"/>
    <w:rsid w:val="00422A8B"/>
    <w:rsid w:val="00430BFE"/>
    <w:rsid w:val="00444ED5"/>
    <w:rsid w:val="004564AC"/>
    <w:rsid w:val="00463CAD"/>
    <w:rsid w:val="00465C9A"/>
    <w:rsid w:val="00472C18"/>
    <w:rsid w:val="004745AE"/>
    <w:rsid w:val="00475CEC"/>
    <w:rsid w:val="00482A85"/>
    <w:rsid w:val="00483394"/>
    <w:rsid w:val="004840D6"/>
    <w:rsid w:val="004934C5"/>
    <w:rsid w:val="004935F3"/>
    <w:rsid w:val="004A6145"/>
    <w:rsid w:val="004B5059"/>
    <w:rsid w:val="004B57CD"/>
    <w:rsid w:val="004C2370"/>
    <w:rsid w:val="004C2827"/>
    <w:rsid w:val="004D0937"/>
    <w:rsid w:val="004D1C15"/>
    <w:rsid w:val="004D5D6B"/>
    <w:rsid w:val="004D6488"/>
    <w:rsid w:val="004E17E3"/>
    <w:rsid w:val="004E2ECB"/>
    <w:rsid w:val="004E43BA"/>
    <w:rsid w:val="004E4A57"/>
    <w:rsid w:val="004F293A"/>
    <w:rsid w:val="004F664D"/>
    <w:rsid w:val="005166CC"/>
    <w:rsid w:val="00517459"/>
    <w:rsid w:val="005230EE"/>
    <w:rsid w:val="005271D3"/>
    <w:rsid w:val="00542FFA"/>
    <w:rsid w:val="00543382"/>
    <w:rsid w:val="00547EA0"/>
    <w:rsid w:val="00562678"/>
    <w:rsid w:val="00567A52"/>
    <w:rsid w:val="00567B61"/>
    <w:rsid w:val="00570A15"/>
    <w:rsid w:val="005760EF"/>
    <w:rsid w:val="005764B5"/>
    <w:rsid w:val="00581B41"/>
    <w:rsid w:val="005954E0"/>
    <w:rsid w:val="005A4583"/>
    <w:rsid w:val="005A79E2"/>
    <w:rsid w:val="005C58EA"/>
    <w:rsid w:val="005D0361"/>
    <w:rsid w:val="005D45A5"/>
    <w:rsid w:val="005D6B80"/>
    <w:rsid w:val="005E0A03"/>
    <w:rsid w:val="005E3A0F"/>
    <w:rsid w:val="005F1A3C"/>
    <w:rsid w:val="005F4C8E"/>
    <w:rsid w:val="006010EA"/>
    <w:rsid w:val="00606B1C"/>
    <w:rsid w:val="0060721D"/>
    <w:rsid w:val="006138AE"/>
    <w:rsid w:val="006201EB"/>
    <w:rsid w:val="00620F7D"/>
    <w:rsid w:val="00625BF1"/>
    <w:rsid w:val="006268A1"/>
    <w:rsid w:val="00626A36"/>
    <w:rsid w:val="00631452"/>
    <w:rsid w:val="00631E85"/>
    <w:rsid w:val="00632942"/>
    <w:rsid w:val="00637E05"/>
    <w:rsid w:val="00641B1C"/>
    <w:rsid w:val="006527FA"/>
    <w:rsid w:val="00670E3E"/>
    <w:rsid w:val="00673688"/>
    <w:rsid w:val="00675486"/>
    <w:rsid w:val="00692A0C"/>
    <w:rsid w:val="00693335"/>
    <w:rsid w:val="00694D0E"/>
    <w:rsid w:val="006A00EA"/>
    <w:rsid w:val="006A3575"/>
    <w:rsid w:val="006A3EF2"/>
    <w:rsid w:val="006B2769"/>
    <w:rsid w:val="006C63BC"/>
    <w:rsid w:val="006D6486"/>
    <w:rsid w:val="006D6EDE"/>
    <w:rsid w:val="006D7EF7"/>
    <w:rsid w:val="006E0214"/>
    <w:rsid w:val="006E0C59"/>
    <w:rsid w:val="006E7CC3"/>
    <w:rsid w:val="006F1D6E"/>
    <w:rsid w:val="006F78FD"/>
    <w:rsid w:val="00703902"/>
    <w:rsid w:val="0070537D"/>
    <w:rsid w:val="00705EE9"/>
    <w:rsid w:val="007134E8"/>
    <w:rsid w:val="00714FFC"/>
    <w:rsid w:val="00715ACC"/>
    <w:rsid w:val="00723ACC"/>
    <w:rsid w:val="007279B6"/>
    <w:rsid w:val="0073128F"/>
    <w:rsid w:val="0073560B"/>
    <w:rsid w:val="00744206"/>
    <w:rsid w:val="00746E49"/>
    <w:rsid w:val="007544C5"/>
    <w:rsid w:val="00756ED1"/>
    <w:rsid w:val="00757DD0"/>
    <w:rsid w:val="007639EF"/>
    <w:rsid w:val="00781851"/>
    <w:rsid w:val="00785415"/>
    <w:rsid w:val="007A6293"/>
    <w:rsid w:val="007C3E2B"/>
    <w:rsid w:val="007D15DE"/>
    <w:rsid w:val="007D2829"/>
    <w:rsid w:val="007D6E1F"/>
    <w:rsid w:val="007E647D"/>
    <w:rsid w:val="007F44D8"/>
    <w:rsid w:val="008120E6"/>
    <w:rsid w:val="00820C8E"/>
    <w:rsid w:val="0082488A"/>
    <w:rsid w:val="00831861"/>
    <w:rsid w:val="008419DA"/>
    <w:rsid w:val="00842E88"/>
    <w:rsid w:val="00854BCF"/>
    <w:rsid w:val="00855EEB"/>
    <w:rsid w:val="00867D31"/>
    <w:rsid w:val="00880D77"/>
    <w:rsid w:val="00882AF4"/>
    <w:rsid w:val="00882D6B"/>
    <w:rsid w:val="008902BB"/>
    <w:rsid w:val="00891003"/>
    <w:rsid w:val="008B092A"/>
    <w:rsid w:val="008B1832"/>
    <w:rsid w:val="008C4B98"/>
    <w:rsid w:val="008C6383"/>
    <w:rsid w:val="008D1190"/>
    <w:rsid w:val="008D11D1"/>
    <w:rsid w:val="008D7AB3"/>
    <w:rsid w:val="008E2D99"/>
    <w:rsid w:val="008E5195"/>
    <w:rsid w:val="008E7A03"/>
    <w:rsid w:val="008F1048"/>
    <w:rsid w:val="008F2AEC"/>
    <w:rsid w:val="00902461"/>
    <w:rsid w:val="009311AE"/>
    <w:rsid w:val="00932750"/>
    <w:rsid w:val="00940F3E"/>
    <w:rsid w:val="00944D2F"/>
    <w:rsid w:val="00952D0C"/>
    <w:rsid w:val="00954011"/>
    <w:rsid w:val="00955CD0"/>
    <w:rsid w:val="0096415F"/>
    <w:rsid w:val="0096454B"/>
    <w:rsid w:val="00967009"/>
    <w:rsid w:val="00972296"/>
    <w:rsid w:val="0097335B"/>
    <w:rsid w:val="0097579C"/>
    <w:rsid w:val="009849B9"/>
    <w:rsid w:val="009863FF"/>
    <w:rsid w:val="009A060E"/>
    <w:rsid w:val="009A066B"/>
    <w:rsid w:val="009B2487"/>
    <w:rsid w:val="009B5591"/>
    <w:rsid w:val="009C0C6D"/>
    <w:rsid w:val="009C0F37"/>
    <w:rsid w:val="009C3947"/>
    <w:rsid w:val="009D3E7B"/>
    <w:rsid w:val="009D4EE8"/>
    <w:rsid w:val="009E08A2"/>
    <w:rsid w:val="009E39F0"/>
    <w:rsid w:val="009F4EF4"/>
    <w:rsid w:val="009F4F0E"/>
    <w:rsid w:val="009F6DDA"/>
    <w:rsid w:val="00A009A1"/>
    <w:rsid w:val="00A03761"/>
    <w:rsid w:val="00A0545A"/>
    <w:rsid w:val="00A10034"/>
    <w:rsid w:val="00A20B2F"/>
    <w:rsid w:val="00A2442F"/>
    <w:rsid w:val="00A26919"/>
    <w:rsid w:val="00A323F4"/>
    <w:rsid w:val="00A33791"/>
    <w:rsid w:val="00A438C6"/>
    <w:rsid w:val="00A4470B"/>
    <w:rsid w:val="00A548D5"/>
    <w:rsid w:val="00A5786D"/>
    <w:rsid w:val="00A60B1E"/>
    <w:rsid w:val="00A62A57"/>
    <w:rsid w:val="00A65DA8"/>
    <w:rsid w:val="00A72CDE"/>
    <w:rsid w:val="00A764EA"/>
    <w:rsid w:val="00A81E14"/>
    <w:rsid w:val="00A83352"/>
    <w:rsid w:val="00A86C59"/>
    <w:rsid w:val="00AA1E04"/>
    <w:rsid w:val="00AA6B05"/>
    <w:rsid w:val="00AB0DBC"/>
    <w:rsid w:val="00AB40FD"/>
    <w:rsid w:val="00AB6058"/>
    <w:rsid w:val="00AC04B5"/>
    <w:rsid w:val="00AC1F80"/>
    <w:rsid w:val="00AD2AB7"/>
    <w:rsid w:val="00AD5DF3"/>
    <w:rsid w:val="00AE08F1"/>
    <w:rsid w:val="00AE4359"/>
    <w:rsid w:val="00AF2271"/>
    <w:rsid w:val="00AF3361"/>
    <w:rsid w:val="00AF62DB"/>
    <w:rsid w:val="00B04E45"/>
    <w:rsid w:val="00B1161C"/>
    <w:rsid w:val="00B12284"/>
    <w:rsid w:val="00B23145"/>
    <w:rsid w:val="00B34069"/>
    <w:rsid w:val="00B3502D"/>
    <w:rsid w:val="00B35509"/>
    <w:rsid w:val="00B37493"/>
    <w:rsid w:val="00B40C8C"/>
    <w:rsid w:val="00B4279F"/>
    <w:rsid w:val="00B5322E"/>
    <w:rsid w:val="00B553E7"/>
    <w:rsid w:val="00B57B41"/>
    <w:rsid w:val="00B63A56"/>
    <w:rsid w:val="00B67482"/>
    <w:rsid w:val="00B7387B"/>
    <w:rsid w:val="00B919F0"/>
    <w:rsid w:val="00B92490"/>
    <w:rsid w:val="00B955FE"/>
    <w:rsid w:val="00B95C6C"/>
    <w:rsid w:val="00BA5504"/>
    <w:rsid w:val="00BA590E"/>
    <w:rsid w:val="00BB32F6"/>
    <w:rsid w:val="00BC10EA"/>
    <w:rsid w:val="00BC6E48"/>
    <w:rsid w:val="00BC7632"/>
    <w:rsid w:val="00BE47A7"/>
    <w:rsid w:val="00BF52DE"/>
    <w:rsid w:val="00BF5665"/>
    <w:rsid w:val="00C0071D"/>
    <w:rsid w:val="00C2659A"/>
    <w:rsid w:val="00C374FF"/>
    <w:rsid w:val="00C40E28"/>
    <w:rsid w:val="00C410BA"/>
    <w:rsid w:val="00C44069"/>
    <w:rsid w:val="00C4411F"/>
    <w:rsid w:val="00C51163"/>
    <w:rsid w:val="00C554A4"/>
    <w:rsid w:val="00C67111"/>
    <w:rsid w:val="00C72C04"/>
    <w:rsid w:val="00C76D27"/>
    <w:rsid w:val="00C77CA0"/>
    <w:rsid w:val="00C831E4"/>
    <w:rsid w:val="00C840CE"/>
    <w:rsid w:val="00C849D8"/>
    <w:rsid w:val="00C91767"/>
    <w:rsid w:val="00CA2F50"/>
    <w:rsid w:val="00CB3A5C"/>
    <w:rsid w:val="00CB7799"/>
    <w:rsid w:val="00CE39DC"/>
    <w:rsid w:val="00CE455D"/>
    <w:rsid w:val="00CE53A5"/>
    <w:rsid w:val="00CE6D42"/>
    <w:rsid w:val="00CF5D85"/>
    <w:rsid w:val="00D0580D"/>
    <w:rsid w:val="00D075E8"/>
    <w:rsid w:val="00D12257"/>
    <w:rsid w:val="00D2549A"/>
    <w:rsid w:val="00D33BC0"/>
    <w:rsid w:val="00D34804"/>
    <w:rsid w:val="00D4157C"/>
    <w:rsid w:val="00D41744"/>
    <w:rsid w:val="00D67299"/>
    <w:rsid w:val="00D86EB5"/>
    <w:rsid w:val="00D92345"/>
    <w:rsid w:val="00D95489"/>
    <w:rsid w:val="00DA66D4"/>
    <w:rsid w:val="00DB1328"/>
    <w:rsid w:val="00DB26B2"/>
    <w:rsid w:val="00DB279D"/>
    <w:rsid w:val="00DB4B88"/>
    <w:rsid w:val="00DB5679"/>
    <w:rsid w:val="00DC23F1"/>
    <w:rsid w:val="00DC7208"/>
    <w:rsid w:val="00DC7D2C"/>
    <w:rsid w:val="00DD294C"/>
    <w:rsid w:val="00DE1619"/>
    <w:rsid w:val="00DE5411"/>
    <w:rsid w:val="00DE719B"/>
    <w:rsid w:val="00DF362F"/>
    <w:rsid w:val="00E06104"/>
    <w:rsid w:val="00E1234F"/>
    <w:rsid w:val="00E125BA"/>
    <w:rsid w:val="00E14B8A"/>
    <w:rsid w:val="00E20F74"/>
    <w:rsid w:val="00E21C2A"/>
    <w:rsid w:val="00E30805"/>
    <w:rsid w:val="00E34578"/>
    <w:rsid w:val="00E354A8"/>
    <w:rsid w:val="00E402E9"/>
    <w:rsid w:val="00E43059"/>
    <w:rsid w:val="00E43A7C"/>
    <w:rsid w:val="00E543B0"/>
    <w:rsid w:val="00E55679"/>
    <w:rsid w:val="00E55F68"/>
    <w:rsid w:val="00E56C76"/>
    <w:rsid w:val="00E62069"/>
    <w:rsid w:val="00E66358"/>
    <w:rsid w:val="00E66C1A"/>
    <w:rsid w:val="00E6738D"/>
    <w:rsid w:val="00E80669"/>
    <w:rsid w:val="00E855AE"/>
    <w:rsid w:val="00EB47AA"/>
    <w:rsid w:val="00EC5994"/>
    <w:rsid w:val="00ED40FF"/>
    <w:rsid w:val="00ED7881"/>
    <w:rsid w:val="00EE0052"/>
    <w:rsid w:val="00EE3A9C"/>
    <w:rsid w:val="00EE5121"/>
    <w:rsid w:val="00EF1A93"/>
    <w:rsid w:val="00EF5B62"/>
    <w:rsid w:val="00EF68EB"/>
    <w:rsid w:val="00F03157"/>
    <w:rsid w:val="00F034E8"/>
    <w:rsid w:val="00F03FF2"/>
    <w:rsid w:val="00F10201"/>
    <w:rsid w:val="00F11141"/>
    <w:rsid w:val="00F21213"/>
    <w:rsid w:val="00F27E2E"/>
    <w:rsid w:val="00F32250"/>
    <w:rsid w:val="00F33278"/>
    <w:rsid w:val="00F3632B"/>
    <w:rsid w:val="00F41A17"/>
    <w:rsid w:val="00F4490C"/>
    <w:rsid w:val="00F47538"/>
    <w:rsid w:val="00F55578"/>
    <w:rsid w:val="00F71460"/>
    <w:rsid w:val="00F7364F"/>
    <w:rsid w:val="00F75976"/>
    <w:rsid w:val="00F81977"/>
    <w:rsid w:val="00F848CD"/>
    <w:rsid w:val="00F87124"/>
    <w:rsid w:val="00F90C98"/>
    <w:rsid w:val="00F920D3"/>
    <w:rsid w:val="00FA28DB"/>
    <w:rsid w:val="00FA3BEF"/>
    <w:rsid w:val="00FA4223"/>
    <w:rsid w:val="00FA54FD"/>
    <w:rsid w:val="00FB07AB"/>
    <w:rsid w:val="00FB14A6"/>
    <w:rsid w:val="00FB2EDD"/>
    <w:rsid w:val="00FB3DA8"/>
    <w:rsid w:val="00FB4F93"/>
    <w:rsid w:val="00FC1187"/>
    <w:rsid w:val="00FC4D5D"/>
    <w:rsid w:val="00FC56D0"/>
    <w:rsid w:val="00FC6B84"/>
    <w:rsid w:val="00FC7DAF"/>
    <w:rsid w:val="00FD3B54"/>
    <w:rsid w:val="00FE0CC4"/>
    <w:rsid w:val="00FE2EEE"/>
    <w:rsid w:val="00FE3158"/>
    <w:rsid w:val="00FF49BF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892F3B"/>
  <w15:docId w15:val="{CDF0DF0A-E050-420D-B7F3-B6684A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B56"/>
    <w:pPr>
      <w:bidi/>
      <w:spacing w:before="120" w:after="120" w:line="360" w:lineRule="auto"/>
      <w:jc w:val="both"/>
    </w:pPr>
    <w:rPr>
      <w:rFonts w:cs="David"/>
      <w:sz w:val="20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28DB"/>
    <w:pPr>
      <w:keepNext/>
      <w:jc w:val="right"/>
      <w:outlineLvl w:val="0"/>
    </w:pPr>
    <w:rPr>
      <w:rFonts w:cs="Arial"/>
    </w:rPr>
  </w:style>
  <w:style w:type="paragraph" w:styleId="3">
    <w:name w:val="heading 3"/>
    <w:basedOn w:val="a"/>
    <w:next w:val="a"/>
    <w:link w:val="30"/>
    <w:uiPriority w:val="99"/>
    <w:qFormat/>
    <w:rsid w:val="00FA28DB"/>
    <w:pPr>
      <w:keepNext/>
      <w:outlineLvl w:val="2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E41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E41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6E41AE"/>
    <w:rPr>
      <w:sz w:val="20"/>
      <w:szCs w:val="20"/>
    </w:rPr>
  </w:style>
  <w:style w:type="paragraph" w:styleId="a5">
    <w:name w:val="footer"/>
    <w:basedOn w:val="a"/>
    <w:link w:val="a6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6E41AE"/>
    <w:rPr>
      <w:sz w:val="20"/>
      <w:szCs w:val="20"/>
    </w:rPr>
  </w:style>
  <w:style w:type="character" w:styleId="a7">
    <w:name w:val="page number"/>
    <w:basedOn w:val="a0"/>
    <w:uiPriority w:val="99"/>
    <w:rsid w:val="00FA28DB"/>
    <w:rPr>
      <w:rFonts w:cs="Times New Roman"/>
    </w:rPr>
  </w:style>
  <w:style w:type="character" w:styleId="Hyperlink">
    <w:name w:val="Hyperlink"/>
    <w:basedOn w:val="a0"/>
    <w:uiPriority w:val="99"/>
    <w:rsid w:val="00FA28DB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rsid w:val="00FA28DB"/>
    <w:rPr>
      <w:rFonts w:cs="Times New Roman"/>
      <w:color w:val="800080"/>
      <w:u w:val="single"/>
    </w:rPr>
  </w:style>
  <w:style w:type="paragraph" w:customStyle="1" w:styleId="NormalWeb1">
    <w:name w:val="Normal (Web)‎1"/>
    <w:basedOn w:val="a"/>
    <w:uiPriority w:val="99"/>
    <w:rsid w:val="00FC7DAF"/>
    <w:pPr>
      <w:bidi w:val="0"/>
      <w:spacing w:before="100" w:beforeAutospacing="1" w:after="100" w:afterAutospacing="1"/>
    </w:pPr>
    <w:rPr>
      <w:rFonts w:cs="Times New Roman"/>
      <w:sz w:val="24"/>
    </w:rPr>
  </w:style>
  <w:style w:type="character" w:styleId="a8">
    <w:name w:val="Strong"/>
    <w:basedOn w:val="a0"/>
    <w:uiPriority w:val="99"/>
    <w:qFormat/>
    <w:rsid w:val="003A2265"/>
    <w:rPr>
      <w:rFonts w:cs="Times New Roman"/>
      <w:b/>
    </w:rPr>
  </w:style>
  <w:style w:type="character" w:styleId="a9">
    <w:name w:val="Emphasis"/>
    <w:basedOn w:val="a0"/>
    <w:uiPriority w:val="99"/>
    <w:qFormat/>
    <w:rsid w:val="00C77CA0"/>
    <w:rPr>
      <w:rFonts w:cs="Times New Roman"/>
      <w:b/>
    </w:rPr>
  </w:style>
  <w:style w:type="character" w:customStyle="1" w:styleId="aa">
    <w:name w:val="התחלה"/>
    <w:uiPriority w:val="99"/>
    <w:rsid w:val="00C77CA0"/>
    <w:rPr>
      <w:sz w:val="24"/>
    </w:rPr>
  </w:style>
  <w:style w:type="paragraph" w:styleId="ab">
    <w:name w:val="footnote text"/>
    <w:basedOn w:val="a"/>
    <w:link w:val="ac"/>
    <w:uiPriority w:val="99"/>
    <w:semiHidden/>
    <w:rsid w:val="00C77CA0"/>
    <w:rPr>
      <w:rFonts w:cs="Times New Roman"/>
      <w:lang w:eastAsia="he-IL"/>
    </w:rPr>
  </w:style>
  <w:style w:type="character" w:customStyle="1" w:styleId="ac">
    <w:name w:val="טקסט הערת שוליים תו"/>
    <w:basedOn w:val="a0"/>
    <w:link w:val="ab"/>
    <w:uiPriority w:val="99"/>
    <w:semiHidden/>
    <w:locked/>
    <w:rsid w:val="00BC6E48"/>
    <w:rPr>
      <w:lang w:eastAsia="he-IL" w:bidi="he-IL"/>
    </w:rPr>
  </w:style>
  <w:style w:type="character" w:styleId="ad">
    <w:name w:val="footnote reference"/>
    <w:basedOn w:val="a0"/>
    <w:uiPriority w:val="99"/>
    <w:semiHidden/>
    <w:rsid w:val="00C77CA0"/>
    <w:rPr>
      <w:rFonts w:cs="Times New Roman"/>
      <w:vertAlign w:val="superscript"/>
    </w:rPr>
  </w:style>
  <w:style w:type="paragraph" w:customStyle="1" w:styleId="HeadHatzaotHok">
    <w:name w:val="Head HatzaotHok"/>
    <w:basedOn w:val="a"/>
    <w:uiPriority w:val="99"/>
    <w:rsid w:val="001B7AA5"/>
    <w:pPr>
      <w:keepNext/>
      <w:keepLines/>
      <w:widowControl w:val="0"/>
      <w:autoSpaceDE w:val="0"/>
      <w:autoSpaceDN w:val="0"/>
      <w:adjustRightInd w:val="0"/>
      <w:snapToGrid w:val="0"/>
      <w:spacing w:before="240"/>
      <w:jc w:val="center"/>
      <w:textAlignment w:val="center"/>
    </w:pPr>
    <w:rPr>
      <w:rFonts w:ascii="Arial" w:hAnsi="Arial"/>
      <w:b/>
      <w:bCs/>
      <w:color w:val="000000"/>
      <w:szCs w:val="26"/>
      <w:lang w:eastAsia="ja-JP"/>
    </w:rPr>
  </w:style>
  <w:style w:type="paragraph" w:customStyle="1" w:styleId="TableText">
    <w:name w:val="Table Text"/>
    <w:basedOn w:val="a"/>
    <w:uiPriority w:val="99"/>
    <w:rsid w:val="001B7AA5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ind w:right="57"/>
      <w:textAlignment w:val="center"/>
    </w:pPr>
    <w:rPr>
      <w:rFonts w:ascii="Arial" w:hAnsi="Arial"/>
      <w:color w:val="000000"/>
      <w:szCs w:val="26"/>
      <w:lang w:eastAsia="ja-JP"/>
    </w:rPr>
  </w:style>
  <w:style w:type="paragraph" w:customStyle="1" w:styleId="TableSideHeading">
    <w:name w:val="Table SideHeading"/>
    <w:basedOn w:val="TableText"/>
    <w:uiPriority w:val="99"/>
    <w:rsid w:val="001B7AA5"/>
  </w:style>
  <w:style w:type="paragraph" w:customStyle="1" w:styleId="TableBlock">
    <w:name w:val="Table Block"/>
    <w:basedOn w:val="TableText"/>
    <w:uiPriority w:val="99"/>
    <w:rsid w:val="001B7AA5"/>
    <w:pPr>
      <w:ind w:right="0"/>
    </w:pPr>
  </w:style>
  <w:style w:type="paragraph" w:customStyle="1" w:styleId="TableHead">
    <w:name w:val="Table Head"/>
    <w:basedOn w:val="TableText"/>
    <w:uiPriority w:val="99"/>
    <w:rsid w:val="001B7AA5"/>
    <w:pPr>
      <w:ind w:right="0"/>
      <w:jc w:val="center"/>
    </w:pPr>
    <w:rPr>
      <w:b/>
      <w:bCs/>
    </w:rPr>
  </w:style>
  <w:style w:type="paragraph" w:customStyle="1" w:styleId="Hesber">
    <w:name w:val="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ind w:firstLine="340"/>
      <w:textAlignment w:val="center"/>
    </w:pPr>
    <w:rPr>
      <w:rFonts w:ascii="Arial" w:hAnsi="Arial"/>
      <w:color w:val="000000"/>
      <w:szCs w:val="26"/>
      <w:lang w:eastAsia="ja-JP"/>
    </w:rPr>
  </w:style>
  <w:style w:type="paragraph" w:customStyle="1" w:styleId="HeadDivreiHesber">
    <w:name w:val="Head Divrei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before="360"/>
      <w:jc w:val="center"/>
      <w:textAlignment w:val="center"/>
    </w:pPr>
    <w:rPr>
      <w:rFonts w:ascii="Arial" w:hAnsi="Arial"/>
      <w:b/>
      <w:color w:val="000000"/>
      <w:spacing w:val="40"/>
      <w:szCs w:val="26"/>
      <w:lang w:eastAsia="ja-JP"/>
    </w:rPr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B7AA5"/>
    <w:pPr>
      <w:widowControl w:val="0"/>
      <w:autoSpaceDE w:val="0"/>
      <w:autoSpaceDN w:val="0"/>
      <w:adjustRightInd w:val="0"/>
      <w:spacing w:before="102" w:line="204" w:lineRule="atLeast"/>
      <w:textAlignment w:val="center"/>
    </w:pPr>
    <w:rPr>
      <w:rFonts w:ascii="Hadasa Roso SL" w:eastAsia="MS Mincho" w:hAnsi="Hadasa Roso SL"/>
      <w:color w:val="000000"/>
      <w:spacing w:val="1"/>
      <w:sz w:val="26"/>
      <w:szCs w:val="26"/>
      <w:lang w:eastAsia="ja-JP"/>
    </w:rPr>
  </w:style>
  <w:style w:type="paragraph" w:styleId="ae">
    <w:name w:val="endnote text"/>
    <w:basedOn w:val="a"/>
    <w:link w:val="af"/>
    <w:autoRedefine/>
    <w:uiPriority w:val="99"/>
    <w:rsid w:val="00444ED5"/>
  </w:style>
  <w:style w:type="character" w:customStyle="1" w:styleId="af">
    <w:name w:val="טקסט הערת סיום תו"/>
    <w:basedOn w:val="a0"/>
    <w:link w:val="ae"/>
    <w:uiPriority w:val="99"/>
    <w:locked/>
    <w:rsid w:val="00444ED5"/>
    <w:rPr>
      <w:rFonts w:cs="David"/>
      <w:sz w:val="20"/>
      <w:szCs w:val="20"/>
    </w:rPr>
  </w:style>
  <w:style w:type="character" w:styleId="af0">
    <w:name w:val="endnote reference"/>
    <w:basedOn w:val="a0"/>
    <w:uiPriority w:val="99"/>
    <w:rsid w:val="00E855AE"/>
    <w:rPr>
      <w:rFonts w:cs="David"/>
      <w:szCs w:val="24"/>
      <w:vertAlign w:val="superscript"/>
    </w:rPr>
  </w:style>
  <w:style w:type="paragraph" w:styleId="af1">
    <w:name w:val="Balloon Text"/>
    <w:basedOn w:val="a"/>
    <w:link w:val="af2"/>
    <w:uiPriority w:val="99"/>
    <w:semiHidden/>
    <w:rsid w:val="001B3667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rsid w:val="006E41AE"/>
    <w:rPr>
      <w:rFonts w:cs="Times New Roman"/>
      <w:sz w:val="0"/>
      <w:szCs w:val="0"/>
    </w:rPr>
  </w:style>
  <w:style w:type="character" w:styleId="af3">
    <w:name w:val="annotation reference"/>
    <w:basedOn w:val="a0"/>
    <w:uiPriority w:val="99"/>
    <w:rsid w:val="001D600E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1D600E"/>
    <w:pPr>
      <w:widowControl w:val="0"/>
      <w:autoSpaceDE w:val="0"/>
      <w:autoSpaceDN w:val="0"/>
      <w:adjustRightInd w:val="0"/>
      <w:spacing w:before="102" w:line="204" w:lineRule="atLeast"/>
      <w:ind w:firstLine="340"/>
      <w:textAlignment w:val="center"/>
    </w:pPr>
    <w:rPr>
      <w:rFonts w:ascii="Hadasa Roso SL" w:eastAsia="MS Mincho" w:hAnsi="Hadasa Roso SL" w:cs="Times New Roman"/>
      <w:color w:val="000000"/>
      <w:spacing w:val="1"/>
      <w:lang w:eastAsia="ja-JP"/>
    </w:rPr>
  </w:style>
  <w:style w:type="character" w:customStyle="1" w:styleId="af5">
    <w:name w:val="טקסט הערה תו"/>
    <w:basedOn w:val="a0"/>
    <w:link w:val="af4"/>
    <w:uiPriority w:val="99"/>
    <w:locked/>
    <w:rsid w:val="001D600E"/>
    <w:rPr>
      <w:rFonts w:ascii="Hadasa Roso SL" w:eastAsia="MS Mincho" w:hAnsi="Hadasa Roso SL"/>
      <w:color w:val="000000"/>
      <w:spacing w:val="1"/>
      <w:lang w:eastAsia="ja-JP"/>
    </w:rPr>
  </w:style>
  <w:style w:type="character" w:customStyle="1" w:styleId="apple-style-span">
    <w:name w:val="apple-style-span"/>
    <w:basedOn w:val="a0"/>
    <w:uiPriority w:val="99"/>
    <w:rsid w:val="00114F5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63CAD"/>
    <w:rPr>
      <w:rFonts w:cs="Times New Roman"/>
    </w:rPr>
  </w:style>
  <w:style w:type="paragraph" w:styleId="af6">
    <w:name w:val="List Paragraph"/>
    <w:basedOn w:val="a"/>
    <w:uiPriority w:val="99"/>
    <w:qFormat/>
    <w:rsid w:val="002E5D8D"/>
    <w:pPr>
      <w:ind w:left="720"/>
    </w:pPr>
  </w:style>
  <w:style w:type="paragraph" w:customStyle="1" w:styleId="TableText2">
    <w:name w:val="Table Text2"/>
    <w:basedOn w:val="TableText"/>
    <w:uiPriority w:val="99"/>
    <w:rsid w:val="00673688"/>
  </w:style>
  <w:style w:type="paragraph" w:styleId="af7">
    <w:name w:val="Revision"/>
    <w:hidden/>
    <w:uiPriority w:val="99"/>
    <w:semiHidden/>
    <w:rsid w:val="00EC5994"/>
    <w:rPr>
      <w:sz w:val="20"/>
      <w:szCs w:val="20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AE08F1"/>
    <w:pPr>
      <w:widowControl/>
      <w:autoSpaceDE/>
      <w:autoSpaceDN/>
      <w:adjustRightInd/>
      <w:spacing w:before="0" w:line="240" w:lineRule="auto"/>
      <w:ind w:firstLine="0"/>
      <w:jc w:val="left"/>
      <w:textAlignment w:val="auto"/>
    </w:pPr>
    <w:rPr>
      <w:rFonts w:ascii="Times New Roman" w:eastAsia="Times New Roman" w:hAnsi="Times New Roman" w:cs="Miriam"/>
      <w:b/>
      <w:bCs/>
      <w:color w:val="auto"/>
      <w:spacing w:val="0"/>
      <w:lang w:eastAsia="en-US"/>
    </w:rPr>
  </w:style>
  <w:style w:type="character" w:customStyle="1" w:styleId="af9">
    <w:name w:val="נושא הערה תו"/>
    <w:basedOn w:val="af5"/>
    <w:link w:val="af8"/>
    <w:uiPriority w:val="99"/>
    <w:semiHidden/>
    <w:rsid w:val="00AE08F1"/>
    <w:rPr>
      <w:rFonts w:ascii="Hadasa Roso SL" w:eastAsia="MS Mincho" w:hAnsi="Hadasa Roso SL"/>
      <w:b/>
      <w:bCs/>
      <w:color w:val="000000"/>
      <w:spacing w:val="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zohar.org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ein\OneDrive\Documents\&#1514;&#1489;&#1504;&#1497;&#1493;&#1514;%20&#1502;&#1493;&#1514;&#1488;&#1502;&#1493;&#1514;%20&#1488;&#1497;&#1513;&#1497;&#1514;%20&#1513;&#1500;%20Office\&#1504;&#1497;&#1497;&#1512;%20&#1506;&#1502;&#1491;&#149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5A228-0E52-4BB9-A1DC-EA0AE993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עמדה</Template>
  <TotalTime>0</TotalTime>
  <Pages>4</Pages>
  <Words>570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מבט יהודי להצעת החוק "אימוץ ילד מחו"ל"</vt:lpstr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מבט יהודי להצעת החוק "אימוץ ילד מחו"ל"</dc:title>
  <dc:creator>Baruch Weintraub</dc:creator>
  <cp:lastModifiedBy>Baruch Weintraub</cp:lastModifiedBy>
  <cp:revision>2</cp:revision>
  <cp:lastPrinted>2016-02-21T08:13:00Z</cp:lastPrinted>
  <dcterms:created xsi:type="dcterms:W3CDTF">2018-10-30T22:44:00Z</dcterms:created>
  <dcterms:modified xsi:type="dcterms:W3CDTF">2018-10-30T22:44:00Z</dcterms:modified>
</cp:coreProperties>
</file>