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82" w:rsidRDefault="00B67482" w:rsidP="00EB5A7B">
      <w:pPr>
        <w:spacing w:after="240"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bookmarkStart w:id="0" w:name="_GoBack"/>
      <w:bookmarkEnd w:id="0"/>
    </w:p>
    <w:p w:rsidR="00B67482" w:rsidRPr="00EB5A7B" w:rsidRDefault="00B67482" w:rsidP="00CD3A02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EB5A7B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נייר עמדה</w:t>
      </w:r>
    </w:p>
    <w:p w:rsidR="00B67482" w:rsidRPr="00EB5A7B" w:rsidRDefault="00866B4C" w:rsidP="00EB5A7B">
      <w:pPr>
        <w:spacing w:after="240" w:line="360" w:lineRule="auto"/>
        <w:jc w:val="center"/>
        <w:rPr>
          <w:rStyle w:val="a8"/>
          <w:rFonts w:ascii="Arial" w:hAnsi="Arial" w:cs="Guttman Keren"/>
          <w:bCs/>
          <w:color w:val="1D5872"/>
          <w:sz w:val="32"/>
          <w:szCs w:val="32"/>
          <w:rtl/>
        </w:rPr>
      </w:pPr>
      <w:proofErr w:type="spellStart"/>
      <w:r w:rsidRPr="00EB5A7B">
        <w:rPr>
          <w:rStyle w:val="a8"/>
          <w:rFonts w:ascii="Arial" w:hAnsi="Arial" w:cs="Guttman Keren" w:hint="cs"/>
          <w:bCs/>
          <w:color w:val="1D5872"/>
          <w:sz w:val="32"/>
          <w:szCs w:val="32"/>
          <w:rtl/>
        </w:rPr>
        <w:t>אי</w:t>
      </w:r>
      <w:r w:rsidR="00EB5A7B">
        <w:rPr>
          <w:rStyle w:val="a8"/>
          <w:rFonts w:ascii="Arial" w:hAnsi="Arial" w:cs="Guttman Keren" w:hint="eastAsia"/>
          <w:bCs/>
          <w:color w:val="1D5872"/>
          <w:sz w:val="32"/>
          <w:szCs w:val="32"/>
          <w:rtl/>
        </w:rPr>
        <w:t>־</w:t>
      </w:r>
      <w:r w:rsidRPr="00EB5A7B">
        <w:rPr>
          <w:rStyle w:val="a8"/>
          <w:rFonts w:ascii="Arial" w:hAnsi="Arial" w:cs="Guttman Keren" w:hint="cs"/>
          <w:bCs/>
          <w:color w:val="1D5872"/>
          <w:sz w:val="32"/>
          <w:szCs w:val="32"/>
          <w:rtl/>
        </w:rPr>
        <w:t>ציון</w:t>
      </w:r>
      <w:proofErr w:type="spellEnd"/>
      <w:r w:rsidRPr="00EB5A7B">
        <w:rPr>
          <w:rStyle w:val="a8"/>
          <w:rFonts w:ascii="Arial" w:hAnsi="Arial" w:cs="Guttman Keren" w:hint="cs"/>
          <w:bCs/>
          <w:color w:val="1D5872"/>
          <w:sz w:val="32"/>
          <w:szCs w:val="32"/>
          <w:rtl/>
        </w:rPr>
        <w:t xml:space="preserve"> שמות בפסקי דין</w:t>
      </w:r>
    </w:p>
    <w:p w:rsidR="00B67482" w:rsidRPr="00B35509" w:rsidRDefault="00B67482" w:rsidP="00EB5A7B">
      <w:pPr>
        <w:spacing w:after="240" w:line="36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:rsidR="00866B4C" w:rsidRDefault="00866B4C" w:rsidP="00FE6E5C">
      <w:pPr>
        <w:spacing w:after="240" w:line="360" w:lineRule="auto"/>
        <w:jc w:val="both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>פסקי הדין המתפרסמים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כיום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כוללים את פרטי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הם האישיים של</w:t>
      </w:r>
      <w:r w:rsidR="00EB5A7B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כל המעורבים בהליך</w:t>
      </w:r>
      <w:r w:rsidR="00CD3A0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המשפטי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אלא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אם מדובר ב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דיון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התנהל בדלתיים סגורות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(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או שבית המשפט החליט </w:t>
      </w:r>
      <w:r w:rsidR="00FE6E5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לאסור את פרסומם</w:t>
      </w:r>
      <w:r w:rsidR="00CD3A0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פרטים אלה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מאורע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נדיר למדי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)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  <w:r w:rsidRPr="00866B4C">
        <w:rPr>
          <w:rtl/>
        </w:rPr>
        <w:t xml:space="preserve">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פעמים רבות, 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>פרסומם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פרטים אלה 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>פוגע בצנעת הפרט של אותם אנשים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בייחוד משום שפסקי הדין 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>נשמרים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לדורות ונגישים לציבור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באמצעות 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>חיפוש קל ופשוט</w:t>
      </w:r>
      <w:r w:rsidR="00CD3A02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במאגרי מידע שונים</w:t>
      </w:r>
      <w:r w:rsidR="00FE6E5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לעיתים </w:t>
      </w:r>
      <w:r w:rsidR="00FE6E5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מדובר</w:t>
      </w:r>
      <w:r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פגיעה מכרעת בפרטיותו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האדם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 ו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הדבר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עלול אף להביא ל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נזקים ממוניים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(כגון כאשר אדם פלוני תבע מעסיק כלשהו, והתוודעות לעובדה תגרום ל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מעסיק</w:t>
      </w:r>
      <w:r w:rsidR="00EB5A7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ים אחרים להימנע מלהעסיק אותו)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</w:p>
    <w:p w:rsidR="00B67482" w:rsidRPr="00EB5A7B" w:rsidRDefault="00EB5A7B" w:rsidP="00EB5A7B">
      <w:pPr>
        <w:spacing w:after="240" w:line="360" w:lineRule="auto"/>
        <w:jc w:val="both"/>
        <w:rPr>
          <w:rStyle w:val="a8"/>
          <w:rFonts w:cs="David"/>
          <w:b w:val="0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נוכח מציאות זו, </w:t>
      </w:r>
      <w:r w:rsidR="00866B4C"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מוצע להוסיף לחוק בתי המשפט סעיף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שלפיו </w:t>
      </w:r>
      <w:r w:rsidR="00866B4C"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>בפרסום פסק דין של בית המשפט לא יצוינו שמות של בעלי דין, עדים ואנשים אחרים שלקחו חלק בהליך המשפטי, אלא ברשות בית המשפט ומטעמים מיוחדים שיי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קבעו באותו סעיף</w:t>
      </w:r>
      <w:r w:rsidR="00866B4C" w:rsidRPr="00866B4C">
        <w:rPr>
          <w:rFonts w:cs="David"/>
          <w:snapToGrid w:val="0"/>
          <w:color w:val="000000"/>
          <w:sz w:val="24"/>
          <w:szCs w:val="24"/>
          <w:rtl/>
          <w:lang w:eastAsia="ja-JP"/>
        </w:rPr>
        <w:t>.</w:t>
      </w:r>
      <w:r w:rsidR="00866B4C">
        <w:rPr>
          <w:rStyle w:val="af0"/>
          <w:snapToGrid w:val="0"/>
          <w:color w:val="000000"/>
          <w:sz w:val="24"/>
          <w:szCs w:val="24"/>
          <w:rtl/>
          <w:lang w:eastAsia="ja-JP"/>
        </w:rPr>
        <w:endnoteReference w:id="1"/>
      </w:r>
    </w:p>
    <w:p w:rsidR="00B67482" w:rsidRPr="00B35509" w:rsidRDefault="00A81E14" w:rsidP="00EB5A7B">
      <w:pPr>
        <w:spacing w:after="240" w:line="360" w:lineRule="auto"/>
        <w:jc w:val="both"/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 xml:space="preserve">מבט </w:t>
      </w: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>יהודי</w:t>
      </w:r>
    </w:p>
    <w:p w:rsidR="00B67482" w:rsidRDefault="00EB5A7B" w:rsidP="00EB5A7B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1. </w:t>
      </w:r>
      <w:r w:rsidR="00866B4C">
        <w:rPr>
          <w:rFonts w:cs="David" w:hint="cs"/>
          <w:b/>
          <w:bCs/>
          <w:sz w:val="24"/>
          <w:szCs w:val="24"/>
          <w:rtl/>
        </w:rPr>
        <w:t>עקרון פומביות הדיון</w:t>
      </w:r>
      <w:r w:rsidR="00B67482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866B4C">
        <w:rPr>
          <w:rFonts w:cs="David" w:hint="cs"/>
          <w:sz w:val="24"/>
          <w:szCs w:val="24"/>
          <w:rtl/>
        </w:rPr>
        <w:t xml:space="preserve">ההלכה אינה רואה </w:t>
      </w:r>
      <w:r>
        <w:rPr>
          <w:rFonts w:cs="David" w:hint="cs"/>
          <w:sz w:val="24"/>
          <w:szCs w:val="24"/>
          <w:rtl/>
        </w:rPr>
        <w:t>ב</w:t>
      </w:r>
      <w:r w:rsidR="00866B4C">
        <w:rPr>
          <w:rFonts w:cs="David" w:hint="cs"/>
          <w:sz w:val="24"/>
          <w:szCs w:val="24"/>
          <w:rtl/>
        </w:rPr>
        <w:t xml:space="preserve">פומביות הדיון המשפטי </w:t>
      </w:r>
      <w:r>
        <w:rPr>
          <w:rFonts w:cs="David" w:hint="cs"/>
          <w:sz w:val="24"/>
          <w:szCs w:val="24"/>
          <w:rtl/>
        </w:rPr>
        <w:t>ע</w:t>
      </w:r>
      <w:r w:rsidR="00CD3A02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 xml:space="preserve">קרון </w:t>
      </w:r>
      <w:r w:rsidR="00866B4C">
        <w:rPr>
          <w:rFonts w:cs="David" w:hint="cs"/>
          <w:sz w:val="24"/>
          <w:szCs w:val="24"/>
          <w:rtl/>
        </w:rPr>
        <w:t>בעל חשיבות מצד עצמו</w:t>
      </w:r>
      <w:r>
        <w:rPr>
          <w:rFonts w:cs="David" w:hint="cs"/>
          <w:sz w:val="24"/>
          <w:szCs w:val="24"/>
          <w:rtl/>
        </w:rPr>
        <w:t>;</w:t>
      </w:r>
      <w:r w:rsidR="00866B4C">
        <w:rPr>
          <w:rStyle w:val="af0"/>
          <w:sz w:val="24"/>
          <w:szCs w:val="24"/>
          <w:rtl/>
        </w:rPr>
        <w:endnoteReference w:id="2"/>
      </w:r>
      <w:r w:rsidR="00866B4C">
        <w:rPr>
          <w:rFonts w:cs="David" w:hint="cs"/>
          <w:sz w:val="24"/>
          <w:szCs w:val="24"/>
          <w:rtl/>
        </w:rPr>
        <w:t xml:space="preserve"> ו</w:t>
      </w:r>
      <w:r>
        <w:rPr>
          <w:rFonts w:cs="David" w:hint="cs"/>
          <w:sz w:val="24"/>
          <w:szCs w:val="24"/>
          <w:rtl/>
        </w:rPr>
        <w:t xml:space="preserve">אף </w:t>
      </w:r>
      <w:r w:rsidR="00866B4C">
        <w:rPr>
          <w:rFonts w:cs="David" w:hint="cs"/>
          <w:sz w:val="24"/>
          <w:szCs w:val="24"/>
          <w:rtl/>
        </w:rPr>
        <w:t>יש מן הפוסקים ש</w:t>
      </w:r>
      <w:r>
        <w:rPr>
          <w:rFonts w:cs="David" w:hint="cs"/>
          <w:sz w:val="24"/>
          <w:szCs w:val="24"/>
          <w:rtl/>
        </w:rPr>
        <w:t xml:space="preserve">אסרו </w:t>
      </w:r>
      <w:r w:rsidR="00866B4C">
        <w:rPr>
          <w:rFonts w:cs="David" w:hint="cs"/>
          <w:sz w:val="24"/>
          <w:szCs w:val="24"/>
          <w:rtl/>
        </w:rPr>
        <w:t>את פרסום נימוקי הדיינים</w:t>
      </w:r>
      <w:r>
        <w:rPr>
          <w:rFonts w:cs="David" w:hint="cs"/>
          <w:sz w:val="24"/>
          <w:szCs w:val="24"/>
          <w:rtl/>
        </w:rPr>
        <w:t xml:space="preserve"> (במקרים מסוימים)</w:t>
      </w:r>
      <w:r w:rsidR="00866B4C">
        <w:rPr>
          <w:rFonts w:cs="David" w:hint="cs"/>
          <w:sz w:val="24"/>
          <w:szCs w:val="24"/>
          <w:rtl/>
        </w:rPr>
        <w:t>.</w:t>
      </w:r>
      <w:r w:rsidR="00866B4C">
        <w:rPr>
          <w:rStyle w:val="af0"/>
          <w:sz w:val="24"/>
          <w:szCs w:val="24"/>
          <w:rtl/>
        </w:rPr>
        <w:endnoteReference w:id="3"/>
      </w:r>
      <w:r w:rsidR="009F7D2E">
        <w:rPr>
          <w:rFonts w:cs="David" w:hint="cs"/>
          <w:sz w:val="24"/>
          <w:szCs w:val="24"/>
          <w:rtl/>
        </w:rPr>
        <w:t xml:space="preserve"> בדורות האחרונים התקבלה ההלכה כי </w:t>
      </w:r>
      <w:r w:rsidR="00866B4C">
        <w:rPr>
          <w:rFonts w:cs="David" w:hint="cs"/>
          <w:sz w:val="24"/>
          <w:szCs w:val="24"/>
          <w:rtl/>
        </w:rPr>
        <w:t>יש לבית הדין הרבני לפרסם את פסקי דינו ואת נימוקיהם של הדיינים, על מנת לה</w:t>
      </w:r>
      <w:r w:rsidR="006260A6">
        <w:rPr>
          <w:rFonts w:cs="David" w:hint="cs"/>
          <w:sz w:val="24"/>
          <w:szCs w:val="24"/>
          <w:rtl/>
        </w:rPr>
        <w:t>גדיל תורה ולהאדיר</w:t>
      </w:r>
      <w:r w:rsidR="009F7D2E">
        <w:rPr>
          <w:rFonts w:cs="David" w:hint="cs"/>
          <w:sz w:val="24"/>
          <w:szCs w:val="24"/>
          <w:rtl/>
        </w:rPr>
        <w:t>ה</w:t>
      </w:r>
      <w:r w:rsidR="00866B4C">
        <w:rPr>
          <w:rFonts w:cs="David" w:hint="cs"/>
          <w:sz w:val="24"/>
          <w:szCs w:val="24"/>
          <w:rtl/>
        </w:rPr>
        <w:t xml:space="preserve">, </w:t>
      </w:r>
      <w:r w:rsidR="006260A6">
        <w:rPr>
          <w:rFonts w:cs="David" w:hint="cs"/>
          <w:sz w:val="24"/>
          <w:szCs w:val="24"/>
          <w:rtl/>
        </w:rPr>
        <w:t xml:space="preserve">ובעיקר </w:t>
      </w:r>
      <w:r w:rsidR="009F7D2E">
        <w:rPr>
          <w:rFonts w:cs="David" w:hint="cs"/>
          <w:sz w:val="24"/>
          <w:szCs w:val="24"/>
          <w:rtl/>
        </w:rPr>
        <w:t xml:space="preserve">כדי </w:t>
      </w:r>
      <w:r w:rsidR="00866B4C">
        <w:rPr>
          <w:rFonts w:cs="David" w:hint="cs"/>
          <w:sz w:val="24"/>
          <w:szCs w:val="24"/>
          <w:rtl/>
        </w:rPr>
        <w:t>"</w:t>
      </w:r>
      <w:r w:rsidR="00866B4C" w:rsidRPr="00866B4C">
        <w:rPr>
          <w:rFonts w:cs="David"/>
          <w:sz w:val="24"/>
          <w:szCs w:val="24"/>
          <w:rtl/>
        </w:rPr>
        <w:t>לחבב המשפט, לגדל כבודו ולהוכיח צדקתו וצדקת שופטיו בעיני בעלי הדין עצמם, ועל ידם לעיני כל העם</w:t>
      </w:r>
      <w:r w:rsidR="00866B4C">
        <w:rPr>
          <w:rFonts w:cs="David" w:hint="cs"/>
          <w:sz w:val="24"/>
          <w:szCs w:val="24"/>
          <w:rtl/>
        </w:rPr>
        <w:t>".</w:t>
      </w:r>
      <w:r w:rsidR="00866B4C">
        <w:rPr>
          <w:rStyle w:val="af0"/>
          <w:sz w:val="24"/>
          <w:szCs w:val="24"/>
          <w:rtl/>
        </w:rPr>
        <w:endnoteReference w:id="4"/>
      </w:r>
      <w:r w:rsidR="002F44F6">
        <w:rPr>
          <w:rFonts w:cs="David" w:hint="cs"/>
          <w:sz w:val="24"/>
          <w:szCs w:val="24"/>
          <w:rtl/>
        </w:rPr>
        <w:t xml:space="preserve"> מכל מקום, פרסום שמות הצדדים והעדים אינו נדרש ל</w:t>
      </w:r>
      <w:r>
        <w:rPr>
          <w:rFonts w:cs="David" w:hint="cs"/>
          <w:sz w:val="24"/>
          <w:szCs w:val="24"/>
          <w:rtl/>
        </w:rPr>
        <w:t xml:space="preserve">שם השגת </w:t>
      </w:r>
      <w:r w:rsidR="002F44F6">
        <w:rPr>
          <w:rFonts w:cs="David" w:hint="cs"/>
          <w:sz w:val="24"/>
          <w:szCs w:val="24"/>
          <w:rtl/>
        </w:rPr>
        <w:t>מטרות אלו.</w:t>
      </w:r>
      <w:r w:rsidR="002F44F6">
        <w:rPr>
          <w:rStyle w:val="af0"/>
          <w:sz w:val="24"/>
          <w:szCs w:val="24"/>
          <w:rtl/>
        </w:rPr>
        <w:endnoteReference w:id="5"/>
      </w:r>
    </w:p>
    <w:p w:rsidR="006260A6" w:rsidRPr="00EB5A7B" w:rsidRDefault="00EB5A7B" w:rsidP="00CD3A02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2. </w:t>
      </w:r>
      <w:r w:rsidR="006260A6">
        <w:rPr>
          <w:rFonts w:cs="David" w:hint="cs"/>
          <w:b/>
          <w:bCs/>
          <w:sz w:val="24"/>
          <w:szCs w:val="24"/>
          <w:rtl/>
        </w:rPr>
        <w:t>איסור</w:t>
      </w:r>
      <w:r>
        <w:rPr>
          <w:rFonts w:cs="David" w:hint="cs"/>
          <w:b/>
          <w:bCs/>
          <w:sz w:val="24"/>
          <w:szCs w:val="24"/>
          <w:rtl/>
        </w:rPr>
        <w:t>י</w:t>
      </w:r>
      <w:r w:rsidR="006260A6">
        <w:rPr>
          <w:rFonts w:cs="David" w:hint="cs"/>
          <w:b/>
          <w:bCs/>
          <w:sz w:val="24"/>
          <w:szCs w:val="24"/>
          <w:rtl/>
        </w:rPr>
        <w:t xml:space="preserve"> רכילות, לשון הרע והוצאת שם רע</w:t>
      </w:r>
      <w:r w:rsidR="00B67482" w:rsidRPr="00631452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6260A6">
        <w:rPr>
          <w:rFonts w:cs="David" w:hint="cs"/>
          <w:sz w:val="24"/>
          <w:szCs w:val="24"/>
          <w:rtl/>
        </w:rPr>
        <w:t xml:space="preserve">ההלכה רואה בחומרה רבה את העיסוק בענייניו </w:t>
      </w:r>
      <w:r w:rsidR="009F7D2E">
        <w:rPr>
          <w:rFonts w:cs="David" w:hint="cs"/>
          <w:sz w:val="24"/>
          <w:szCs w:val="24"/>
          <w:rtl/>
        </w:rPr>
        <w:t xml:space="preserve">וגנותו </w:t>
      </w:r>
      <w:r w:rsidR="006260A6">
        <w:rPr>
          <w:rFonts w:cs="David" w:hint="cs"/>
          <w:sz w:val="24"/>
          <w:szCs w:val="24"/>
          <w:rtl/>
        </w:rPr>
        <w:t>של אדם אחר</w:t>
      </w:r>
      <w:r w:rsidR="00FE6E5C">
        <w:rPr>
          <w:rFonts w:cs="David" w:hint="cs"/>
          <w:sz w:val="24"/>
          <w:szCs w:val="24"/>
          <w:rtl/>
        </w:rPr>
        <w:t xml:space="preserve"> והדיבור עליהם</w:t>
      </w:r>
      <w:r w:rsidR="006260A6">
        <w:rPr>
          <w:rFonts w:cs="David" w:hint="cs"/>
          <w:sz w:val="24"/>
          <w:szCs w:val="24"/>
          <w:rtl/>
        </w:rPr>
        <w:t xml:space="preserve">. </w:t>
      </w:r>
      <w:r w:rsidR="00FE6E5C">
        <w:rPr>
          <w:rFonts w:cs="David" w:hint="cs"/>
          <w:sz w:val="24"/>
          <w:szCs w:val="24"/>
          <w:rtl/>
        </w:rPr>
        <w:t xml:space="preserve">עיסוק כזה </w:t>
      </w:r>
      <w:r w:rsidR="006260A6">
        <w:rPr>
          <w:rFonts w:cs="David" w:hint="cs"/>
          <w:sz w:val="24"/>
          <w:szCs w:val="24"/>
          <w:rtl/>
        </w:rPr>
        <w:t xml:space="preserve">זה נאסר בין אם </w:t>
      </w:r>
      <w:r w:rsidR="00FE6E5C">
        <w:rPr>
          <w:rFonts w:cs="David" w:hint="cs"/>
          <w:sz w:val="24"/>
          <w:szCs w:val="24"/>
          <w:rtl/>
        </w:rPr>
        <w:t>מדובר ב</w:t>
      </w:r>
      <w:r w:rsidR="006260A6">
        <w:rPr>
          <w:rFonts w:cs="David" w:hint="cs"/>
          <w:sz w:val="24"/>
          <w:szCs w:val="24"/>
          <w:rtl/>
        </w:rPr>
        <w:t>שקר</w:t>
      </w:r>
      <w:r w:rsidR="00FE6E5C">
        <w:rPr>
          <w:rFonts w:cs="David" w:hint="cs"/>
          <w:sz w:val="24"/>
          <w:szCs w:val="24"/>
          <w:rtl/>
        </w:rPr>
        <w:t xml:space="preserve">, </w:t>
      </w:r>
      <w:r w:rsidR="006260A6">
        <w:rPr>
          <w:rFonts w:cs="David" w:hint="cs"/>
          <w:sz w:val="24"/>
          <w:szCs w:val="24"/>
          <w:rtl/>
        </w:rPr>
        <w:t xml:space="preserve">בין אם </w:t>
      </w:r>
      <w:r w:rsidR="00FE6E5C">
        <w:rPr>
          <w:rFonts w:cs="David" w:hint="cs"/>
          <w:sz w:val="24"/>
          <w:szCs w:val="24"/>
          <w:rtl/>
        </w:rPr>
        <w:t>מדובר</w:t>
      </w:r>
      <w:r w:rsidR="006260A6">
        <w:rPr>
          <w:rFonts w:cs="David" w:hint="cs"/>
          <w:sz w:val="24"/>
          <w:szCs w:val="24"/>
          <w:rtl/>
        </w:rPr>
        <w:t xml:space="preserve"> </w:t>
      </w:r>
      <w:r w:rsidR="00FE6E5C">
        <w:rPr>
          <w:rFonts w:cs="David" w:hint="cs"/>
          <w:sz w:val="24"/>
          <w:szCs w:val="24"/>
          <w:rtl/>
        </w:rPr>
        <w:t>ב</w:t>
      </w:r>
      <w:r w:rsidR="006260A6">
        <w:rPr>
          <w:rFonts w:cs="David" w:hint="cs"/>
          <w:sz w:val="24"/>
          <w:szCs w:val="24"/>
          <w:rtl/>
        </w:rPr>
        <w:t>אמת</w:t>
      </w:r>
      <w:r w:rsidR="009F7D2E">
        <w:rPr>
          <w:rFonts w:cs="David" w:hint="cs"/>
          <w:sz w:val="24"/>
          <w:szCs w:val="24"/>
          <w:rtl/>
        </w:rPr>
        <w:t xml:space="preserve">, ואפילו אם אין זה אלא </w:t>
      </w:r>
      <w:r w:rsidR="006260A6">
        <w:rPr>
          <w:rFonts w:cs="David" w:hint="cs"/>
          <w:sz w:val="24"/>
          <w:szCs w:val="24"/>
          <w:rtl/>
        </w:rPr>
        <w:t xml:space="preserve">דיבור סתמי </w:t>
      </w:r>
      <w:r w:rsidR="00CD3A02">
        <w:rPr>
          <w:rFonts w:cs="David" w:hint="cs"/>
          <w:sz w:val="24"/>
          <w:szCs w:val="24"/>
          <w:rtl/>
        </w:rPr>
        <w:t>על קורותיו הפרטיים ש</w:t>
      </w:r>
      <w:r w:rsidR="00C13990">
        <w:rPr>
          <w:rFonts w:cs="David" w:hint="cs"/>
          <w:sz w:val="24"/>
          <w:szCs w:val="24"/>
          <w:rtl/>
        </w:rPr>
        <w:t>ל אדם פלוני; איסורים אלה קרויים בהתאמה:</w:t>
      </w:r>
      <w:r w:rsidR="007F1774">
        <w:rPr>
          <w:rFonts w:cs="David" w:hint="cs"/>
          <w:sz w:val="24"/>
          <w:szCs w:val="24"/>
          <w:rtl/>
        </w:rPr>
        <w:t xml:space="preserve"> הוצאת שם רע, לשון הרע</w:t>
      </w:r>
      <w:r w:rsidR="00C13990">
        <w:rPr>
          <w:rFonts w:cs="David" w:hint="cs"/>
          <w:sz w:val="24"/>
          <w:szCs w:val="24"/>
          <w:rtl/>
        </w:rPr>
        <w:t>,</w:t>
      </w:r>
      <w:r w:rsidR="007F1774">
        <w:rPr>
          <w:rFonts w:cs="David" w:hint="cs"/>
          <w:sz w:val="24"/>
          <w:szCs w:val="24"/>
          <w:rtl/>
        </w:rPr>
        <w:t xml:space="preserve"> ורכילות.</w:t>
      </w:r>
      <w:r w:rsidR="006260A6">
        <w:rPr>
          <w:rStyle w:val="af0"/>
          <w:sz w:val="24"/>
          <w:szCs w:val="24"/>
          <w:rtl/>
        </w:rPr>
        <w:endnoteReference w:id="6"/>
      </w:r>
      <w:r w:rsidR="009F7D2E">
        <w:rPr>
          <w:rFonts w:cs="David" w:hint="cs"/>
          <w:sz w:val="24"/>
          <w:szCs w:val="24"/>
          <w:rtl/>
        </w:rPr>
        <w:t xml:space="preserve"> עיתים</w:t>
      </w:r>
      <w:r w:rsidR="006260A6">
        <w:rPr>
          <w:rFonts w:cs="David" w:hint="cs"/>
          <w:sz w:val="24"/>
          <w:szCs w:val="24"/>
          <w:rtl/>
        </w:rPr>
        <w:t xml:space="preserve"> שאפילו </w:t>
      </w:r>
      <w:r w:rsidR="009F7D2E">
        <w:rPr>
          <w:rFonts w:cs="David" w:hint="cs"/>
          <w:sz w:val="24"/>
          <w:szCs w:val="24"/>
          <w:rtl/>
        </w:rPr>
        <w:t xml:space="preserve">סיפור בשבחו של אדם הוא דיבור אסור; דיבור כזה קרוי </w:t>
      </w:r>
      <w:r w:rsidR="00CD3A02">
        <w:rPr>
          <w:rFonts w:cs="David" w:hint="cs"/>
          <w:sz w:val="24"/>
          <w:szCs w:val="24"/>
          <w:rtl/>
        </w:rPr>
        <w:t>'אבק לשון הרע'</w:t>
      </w:r>
      <w:r w:rsidR="009F7D2E">
        <w:rPr>
          <w:rFonts w:cs="David" w:hint="cs"/>
          <w:sz w:val="24"/>
          <w:szCs w:val="24"/>
          <w:rtl/>
        </w:rPr>
        <w:t xml:space="preserve"> </w:t>
      </w:r>
      <w:r w:rsidR="00CD3A02">
        <w:rPr>
          <w:rFonts w:cs="David" w:hint="cs"/>
          <w:sz w:val="24"/>
          <w:szCs w:val="24"/>
          <w:rtl/>
        </w:rPr>
        <w:t xml:space="preserve">וזהו לדוגמה דינו של </w:t>
      </w:r>
      <w:r w:rsidR="006260A6">
        <w:rPr>
          <w:rFonts w:cs="David" w:hint="cs"/>
          <w:sz w:val="24"/>
          <w:szCs w:val="24"/>
          <w:rtl/>
        </w:rPr>
        <w:t>"</w:t>
      </w:r>
      <w:r w:rsidR="006260A6" w:rsidRPr="006260A6">
        <w:rPr>
          <w:rFonts w:cs="David"/>
          <w:sz w:val="24"/>
          <w:szCs w:val="24"/>
          <w:rtl/>
        </w:rPr>
        <w:t xml:space="preserve">המספר בטובת </w:t>
      </w:r>
      <w:proofErr w:type="spellStart"/>
      <w:r w:rsidR="006260A6" w:rsidRPr="006260A6">
        <w:rPr>
          <w:rFonts w:cs="David"/>
          <w:sz w:val="24"/>
          <w:szCs w:val="24"/>
          <w:rtl/>
        </w:rPr>
        <w:t>חבירו</w:t>
      </w:r>
      <w:proofErr w:type="spellEnd"/>
      <w:r w:rsidR="006260A6" w:rsidRPr="006260A6">
        <w:rPr>
          <w:rFonts w:cs="David"/>
          <w:sz w:val="24"/>
          <w:szCs w:val="24"/>
          <w:rtl/>
        </w:rPr>
        <w:t xml:space="preserve"> בפני שונאיו</w:t>
      </w:r>
      <w:r w:rsidR="00CD3A02">
        <w:rPr>
          <w:rFonts w:cs="David" w:hint="cs"/>
          <w:sz w:val="24"/>
          <w:szCs w:val="24"/>
          <w:rtl/>
        </w:rPr>
        <w:t>",</w:t>
      </w:r>
      <w:r w:rsidR="006260A6" w:rsidRPr="006260A6">
        <w:rPr>
          <w:rFonts w:cs="David"/>
          <w:sz w:val="24"/>
          <w:szCs w:val="24"/>
          <w:rtl/>
        </w:rPr>
        <w:t xml:space="preserve"> </w:t>
      </w:r>
      <w:r w:rsidR="00CD3A02">
        <w:rPr>
          <w:rFonts w:cs="David" w:hint="cs"/>
          <w:sz w:val="24"/>
          <w:szCs w:val="24"/>
          <w:rtl/>
        </w:rPr>
        <w:t>שדיבורו הוא "</w:t>
      </w:r>
      <w:r w:rsidR="006260A6" w:rsidRPr="006260A6">
        <w:rPr>
          <w:rFonts w:cs="David"/>
          <w:sz w:val="24"/>
          <w:szCs w:val="24"/>
          <w:rtl/>
        </w:rPr>
        <w:t>אבק לשון הרע שזה גורם להם שיספרו בגנותו</w:t>
      </w:r>
      <w:r w:rsidR="006260A6">
        <w:rPr>
          <w:rFonts w:cs="David" w:hint="cs"/>
          <w:sz w:val="24"/>
          <w:szCs w:val="24"/>
          <w:rtl/>
        </w:rPr>
        <w:t>"</w:t>
      </w:r>
      <w:r w:rsidR="006260A6" w:rsidRPr="006260A6">
        <w:rPr>
          <w:rFonts w:cs="David" w:hint="cs"/>
          <w:sz w:val="24"/>
          <w:szCs w:val="24"/>
          <w:rtl/>
        </w:rPr>
        <w:t>.</w:t>
      </w:r>
      <w:r w:rsidR="006260A6" w:rsidRPr="006260A6">
        <w:rPr>
          <w:rStyle w:val="af0"/>
          <w:sz w:val="24"/>
          <w:szCs w:val="24"/>
          <w:rtl/>
        </w:rPr>
        <w:endnoteReference w:id="7"/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CD3A02">
        <w:rPr>
          <w:rFonts w:cs="David" w:hint="cs"/>
          <w:sz w:val="24"/>
          <w:szCs w:val="24"/>
          <w:rtl/>
        </w:rPr>
        <w:t>כתיבת</w:t>
      </w:r>
      <w:r w:rsidR="006260A6">
        <w:rPr>
          <w:rFonts w:cs="David" w:hint="cs"/>
          <w:sz w:val="24"/>
          <w:szCs w:val="24"/>
          <w:rtl/>
        </w:rPr>
        <w:t xml:space="preserve"> שמותיהם של הצדדים </w:t>
      </w:r>
      <w:r w:rsidR="007F1774">
        <w:rPr>
          <w:rFonts w:cs="David" w:hint="cs"/>
          <w:sz w:val="24"/>
          <w:szCs w:val="24"/>
          <w:rtl/>
        </w:rPr>
        <w:t xml:space="preserve">והעדים </w:t>
      </w:r>
      <w:r w:rsidR="009F7D2E">
        <w:rPr>
          <w:rFonts w:cs="David" w:hint="cs"/>
          <w:sz w:val="24"/>
          <w:szCs w:val="24"/>
          <w:rtl/>
        </w:rPr>
        <w:t>בפסקי דין</w:t>
      </w:r>
      <w:r w:rsidR="007F1774">
        <w:rPr>
          <w:rFonts w:cs="David" w:hint="cs"/>
          <w:sz w:val="24"/>
          <w:szCs w:val="24"/>
          <w:rtl/>
        </w:rPr>
        <w:t xml:space="preserve"> עלול בקלות </w:t>
      </w:r>
      <w:r w:rsidR="00CD3A02">
        <w:rPr>
          <w:rFonts w:cs="David" w:hint="cs"/>
          <w:sz w:val="24"/>
          <w:szCs w:val="24"/>
          <w:rtl/>
        </w:rPr>
        <w:t>להיות כלול ב</w:t>
      </w:r>
      <w:r w:rsidR="009F7D2E">
        <w:rPr>
          <w:rFonts w:cs="David" w:hint="cs"/>
          <w:sz w:val="24"/>
          <w:szCs w:val="24"/>
          <w:rtl/>
        </w:rPr>
        <w:t xml:space="preserve">איסורים </w:t>
      </w:r>
      <w:r w:rsidR="00CD3A02">
        <w:rPr>
          <w:rFonts w:cs="David" w:hint="cs"/>
          <w:sz w:val="24"/>
          <w:szCs w:val="24"/>
          <w:rtl/>
        </w:rPr>
        <w:t>אלו</w:t>
      </w:r>
      <w:r w:rsidR="007F1774">
        <w:rPr>
          <w:rFonts w:cs="David" w:hint="cs"/>
          <w:sz w:val="24"/>
          <w:szCs w:val="24"/>
          <w:rtl/>
        </w:rPr>
        <w:t xml:space="preserve">. </w:t>
      </w:r>
      <w:r w:rsidR="009F7D2E">
        <w:rPr>
          <w:rFonts w:cs="David" w:hint="cs"/>
          <w:sz w:val="24"/>
          <w:szCs w:val="24"/>
          <w:rtl/>
        </w:rPr>
        <w:t>אין צורך להרחיב על חומרת האיסורים הללו ודי אם נציין ל</w:t>
      </w:r>
      <w:r w:rsidR="00CD3A02">
        <w:rPr>
          <w:rFonts w:cs="David" w:hint="cs"/>
          <w:sz w:val="24"/>
          <w:szCs w:val="24"/>
          <w:rtl/>
        </w:rPr>
        <w:t>דברי הרמב"ם</w:t>
      </w:r>
      <w:r w:rsidR="009F7D2E">
        <w:rPr>
          <w:rFonts w:cs="David" w:hint="cs"/>
          <w:sz w:val="24"/>
          <w:szCs w:val="24"/>
          <w:rtl/>
        </w:rPr>
        <w:t xml:space="preserve">: </w:t>
      </w:r>
      <w:r w:rsidR="007F1774">
        <w:rPr>
          <w:rFonts w:cs="David" w:hint="cs"/>
          <w:sz w:val="24"/>
          <w:szCs w:val="24"/>
          <w:rtl/>
        </w:rPr>
        <w:t>"</w:t>
      </w:r>
      <w:r w:rsidR="007F1774" w:rsidRPr="007F1774">
        <w:rPr>
          <w:rFonts w:cs="David"/>
          <w:sz w:val="24"/>
          <w:szCs w:val="24"/>
          <w:rtl/>
        </w:rPr>
        <w:t xml:space="preserve">בעלי לשון הרע שאסור לדור בשכונתם וכל שכן </w:t>
      </w:r>
      <w:proofErr w:type="spellStart"/>
      <w:r w:rsidR="007F1774" w:rsidRPr="007F1774">
        <w:rPr>
          <w:rFonts w:cs="David"/>
          <w:sz w:val="24"/>
          <w:szCs w:val="24"/>
          <w:rtl/>
        </w:rPr>
        <w:t>לישב</w:t>
      </w:r>
      <w:proofErr w:type="spellEnd"/>
      <w:r w:rsidR="007F1774" w:rsidRPr="007F1774">
        <w:rPr>
          <w:rFonts w:cs="David"/>
          <w:sz w:val="24"/>
          <w:szCs w:val="24"/>
          <w:rtl/>
        </w:rPr>
        <w:t xml:space="preserve"> עמהם ולשמוע דבריהם, ולא נחתם גזר דין על אבותינו במדבר אלא על לשון הרע לבד</w:t>
      </w:r>
      <w:r w:rsidR="007F1774">
        <w:rPr>
          <w:rFonts w:cs="David" w:hint="cs"/>
          <w:sz w:val="24"/>
          <w:szCs w:val="24"/>
          <w:rtl/>
        </w:rPr>
        <w:t>".</w:t>
      </w:r>
      <w:r w:rsidR="007F1774">
        <w:rPr>
          <w:rStyle w:val="af0"/>
          <w:sz w:val="24"/>
          <w:szCs w:val="24"/>
          <w:rtl/>
        </w:rPr>
        <w:endnoteReference w:id="8"/>
      </w:r>
    </w:p>
    <w:p w:rsidR="007F1774" w:rsidRPr="00EB5A7B" w:rsidRDefault="00EB5A7B" w:rsidP="009F7D2E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 xml:space="preserve">3. </w:t>
      </w:r>
      <w:r w:rsidR="007F1774" w:rsidRPr="00EB5A7B">
        <w:rPr>
          <w:rFonts w:cs="David" w:hint="cs"/>
          <w:b/>
          <w:bCs/>
          <w:sz w:val="24"/>
          <w:szCs w:val="24"/>
          <w:rtl/>
        </w:rPr>
        <w:t>היתר לשון הרע לצורך</w:t>
      </w:r>
      <w:r w:rsidR="007F1774" w:rsidRPr="00EB5A7B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7F1774" w:rsidRPr="00EB5A7B">
        <w:rPr>
          <w:rFonts w:cs="David" w:hint="cs"/>
          <w:sz w:val="24"/>
          <w:szCs w:val="24"/>
          <w:rtl/>
        </w:rPr>
        <w:t xml:space="preserve">על אף האמור בסעיף הקודם, התירה ההלכה לספר </w:t>
      </w:r>
      <w:r w:rsidR="009F7D2E">
        <w:rPr>
          <w:rFonts w:cs="David" w:hint="cs"/>
          <w:sz w:val="24"/>
          <w:szCs w:val="24"/>
          <w:rtl/>
        </w:rPr>
        <w:t>ב</w:t>
      </w:r>
      <w:r w:rsidR="007F1774" w:rsidRPr="00EB5A7B">
        <w:rPr>
          <w:rFonts w:cs="David" w:hint="cs"/>
          <w:sz w:val="24"/>
          <w:szCs w:val="24"/>
          <w:rtl/>
        </w:rPr>
        <w:t>גנותו של אדם</w:t>
      </w:r>
      <w:r w:rsidR="009F7D2E">
        <w:rPr>
          <w:rFonts w:cs="David" w:hint="cs"/>
          <w:sz w:val="24"/>
          <w:szCs w:val="24"/>
          <w:rtl/>
        </w:rPr>
        <w:t xml:space="preserve"> (כמובן כאשר מדובר באמת)</w:t>
      </w:r>
      <w:r w:rsidR="007F1774" w:rsidRPr="00EB5A7B">
        <w:rPr>
          <w:rFonts w:cs="David" w:hint="cs"/>
          <w:sz w:val="24"/>
          <w:szCs w:val="24"/>
          <w:rtl/>
        </w:rPr>
        <w:t xml:space="preserve">, </w:t>
      </w:r>
      <w:r w:rsidR="00CD3A02">
        <w:rPr>
          <w:rFonts w:cs="David" w:hint="cs"/>
          <w:sz w:val="24"/>
          <w:szCs w:val="24"/>
          <w:rtl/>
        </w:rPr>
        <w:t>במ</w:t>
      </w:r>
      <w:r w:rsidR="009F7D2E">
        <w:rPr>
          <w:rFonts w:cs="David" w:hint="cs"/>
          <w:sz w:val="24"/>
          <w:szCs w:val="24"/>
          <w:rtl/>
        </w:rPr>
        <w:t xml:space="preserve">ידה שיש בכך </w:t>
      </w:r>
      <w:r w:rsidR="007F1774" w:rsidRPr="00EB5A7B">
        <w:rPr>
          <w:rFonts w:cs="David" w:hint="cs"/>
          <w:sz w:val="24"/>
          <w:szCs w:val="24"/>
          <w:rtl/>
        </w:rPr>
        <w:t xml:space="preserve">כדי להביא </w:t>
      </w:r>
      <w:r w:rsidR="009F7D2E">
        <w:rPr>
          <w:rFonts w:cs="David" w:hint="cs"/>
          <w:sz w:val="24"/>
          <w:szCs w:val="24"/>
          <w:rtl/>
        </w:rPr>
        <w:t>ל</w:t>
      </w:r>
      <w:r w:rsidR="007F1774" w:rsidRPr="00EB5A7B">
        <w:rPr>
          <w:rFonts w:cs="David" w:hint="cs"/>
          <w:sz w:val="24"/>
          <w:szCs w:val="24"/>
          <w:rtl/>
        </w:rPr>
        <w:t>תועלת ממשית ל</w:t>
      </w:r>
      <w:r w:rsidR="009F7D2E">
        <w:rPr>
          <w:rFonts w:cs="David" w:hint="cs"/>
          <w:sz w:val="24"/>
          <w:szCs w:val="24"/>
          <w:rtl/>
        </w:rPr>
        <w:t>זולת</w:t>
      </w:r>
      <w:r w:rsidR="007F1774" w:rsidRPr="00EB5A7B">
        <w:rPr>
          <w:rFonts w:cs="David" w:hint="cs"/>
          <w:sz w:val="24"/>
          <w:szCs w:val="24"/>
          <w:rtl/>
        </w:rPr>
        <w:t xml:space="preserve"> ולה</w:t>
      </w:r>
      <w:r w:rsidR="009F7D2E">
        <w:rPr>
          <w:rFonts w:cs="David" w:hint="cs"/>
          <w:sz w:val="24"/>
          <w:szCs w:val="24"/>
          <w:rtl/>
        </w:rPr>
        <w:t>צילו מנזק.</w:t>
      </w:r>
      <w:r w:rsidR="007F1774" w:rsidRPr="00EB5A7B">
        <w:rPr>
          <w:rFonts w:cs="David" w:hint="cs"/>
          <w:sz w:val="24"/>
          <w:szCs w:val="24"/>
          <w:rtl/>
        </w:rPr>
        <w:t xml:space="preserve"> </w:t>
      </w:r>
      <w:r w:rsidR="009F7D2E">
        <w:rPr>
          <w:rFonts w:cs="David" w:hint="cs"/>
          <w:sz w:val="24"/>
          <w:szCs w:val="24"/>
          <w:rtl/>
        </w:rPr>
        <w:t xml:space="preserve">אולם </w:t>
      </w:r>
      <w:r w:rsidR="007F1774" w:rsidRPr="00EB5A7B">
        <w:rPr>
          <w:rFonts w:cs="David" w:hint="cs"/>
          <w:sz w:val="24"/>
          <w:szCs w:val="24"/>
          <w:rtl/>
        </w:rPr>
        <w:t xml:space="preserve">היתר זה </w:t>
      </w:r>
      <w:r>
        <w:rPr>
          <w:rFonts w:cs="David" w:hint="cs"/>
          <w:sz w:val="24"/>
          <w:szCs w:val="24"/>
          <w:rtl/>
        </w:rPr>
        <w:t>מוגבל</w:t>
      </w:r>
      <w:r w:rsidR="007F1774" w:rsidRPr="00EB5A7B">
        <w:rPr>
          <w:rFonts w:cs="David" w:hint="cs"/>
          <w:sz w:val="24"/>
          <w:szCs w:val="24"/>
          <w:rtl/>
        </w:rPr>
        <w:t xml:space="preserve"> אך ורק לפרטים הנצרכים על מנת להביא </w:t>
      </w:r>
      <w:r w:rsidR="009F7D2E">
        <w:rPr>
          <w:rFonts w:cs="David" w:hint="cs"/>
          <w:sz w:val="24"/>
          <w:szCs w:val="24"/>
          <w:rtl/>
        </w:rPr>
        <w:t xml:space="preserve">לאותה תועלת, ותוך בחינה מתמדת כי </w:t>
      </w:r>
      <w:r w:rsidR="007F1774" w:rsidRPr="00EB5A7B">
        <w:rPr>
          <w:rFonts w:cs="David" w:hint="cs"/>
          <w:sz w:val="24"/>
          <w:szCs w:val="24"/>
          <w:rtl/>
        </w:rPr>
        <w:t>לא י</w:t>
      </w:r>
      <w:r w:rsidR="009F7D2E">
        <w:rPr>
          <w:rFonts w:cs="David" w:hint="cs"/>
          <w:sz w:val="24"/>
          <w:szCs w:val="24"/>
          <w:rtl/>
        </w:rPr>
        <w:t>י</w:t>
      </w:r>
      <w:r w:rsidR="007F1774" w:rsidRPr="00EB5A7B">
        <w:rPr>
          <w:rFonts w:cs="David" w:hint="cs"/>
          <w:sz w:val="24"/>
          <w:szCs w:val="24"/>
          <w:rtl/>
        </w:rPr>
        <w:t>אמר יותר מן הנצרך.</w:t>
      </w:r>
      <w:r w:rsidR="007F1774">
        <w:rPr>
          <w:rStyle w:val="af0"/>
          <w:sz w:val="24"/>
          <w:szCs w:val="24"/>
          <w:rtl/>
        </w:rPr>
        <w:endnoteReference w:id="9"/>
      </w:r>
    </w:p>
    <w:p w:rsidR="00B67482" w:rsidRPr="00EB5A7B" w:rsidRDefault="00EB5A7B" w:rsidP="00CD3A02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4. </w:t>
      </w:r>
      <w:r w:rsidR="007F1774" w:rsidRPr="00EB5A7B">
        <w:rPr>
          <w:rFonts w:cs="David" w:hint="cs"/>
          <w:b/>
          <w:bCs/>
          <w:sz w:val="24"/>
          <w:szCs w:val="24"/>
          <w:rtl/>
        </w:rPr>
        <w:t>תקנת השבים</w:t>
      </w:r>
      <w:r w:rsidR="007F1774" w:rsidRPr="00EB5A7B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7F1774" w:rsidRPr="00EB5A7B">
        <w:rPr>
          <w:rFonts w:cs="David" w:hint="cs"/>
          <w:sz w:val="24"/>
          <w:szCs w:val="24"/>
          <w:rtl/>
        </w:rPr>
        <w:t xml:space="preserve">אף </w:t>
      </w:r>
      <w:r w:rsidR="009F7D2E">
        <w:rPr>
          <w:rFonts w:cs="David" w:hint="cs"/>
          <w:sz w:val="24"/>
          <w:szCs w:val="24"/>
          <w:rtl/>
        </w:rPr>
        <w:t xml:space="preserve">כאשר יש </w:t>
      </w:r>
      <w:r w:rsidR="007F1774" w:rsidRPr="00EB5A7B">
        <w:rPr>
          <w:rFonts w:cs="David" w:hint="cs"/>
          <w:sz w:val="24"/>
          <w:szCs w:val="24"/>
          <w:rtl/>
        </w:rPr>
        <w:t>מקום ל</w:t>
      </w:r>
      <w:r w:rsidR="009F7D2E">
        <w:rPr>
          <w:rFonts w:cs="David" w:hint="cs"/>
          <w:sz w:val="24"/>
          <w:szCs w:val="24"/>
          <w:rtl/>
        </w:rPr>
        <w:t>הזהיר את הציבור מפני עבריין מסו</w:t>
      </w:r>
      <w:r w:rsidR="007F1774" w:rsidRPr="00EB5A7B">
        <w:rPr>
          <w:rFonts w:cs="David" w:hint="cs"/>
          <w:sz w:val="24"/>
          <w:szCs w:val="24"/>
          <w:rtl/>
        </w:rPr>
        <w:t xml:space="preserve">ים, </w:t>
      </w:r>
      <w:r w:rsidR="009F7D2E">
        <w:rPr>
          <w:rFonts w:cs="David" w:hint="cs"/>
          <w:sz w:val="24"/>
          <w:szCs w:val="24"/>
          <w:rtl/>
        </w:rPr>
        <w:t xml:space="preserve">אם </w:t>
      </w:r>
      <w:r w:rsidR="007F1774" w:rsidRPr="00EB5A7B">
        <w:rPr>
          <w:rFonts w:cs="David" w:hint="cs"/>
          <w:sz w:val="24"/>
          <w:szCs w:val="24"/>
          <w:rtl/>
        </w:rPr>
        <w:t xml:space="preserve">נודע כי הוא שב בתשובה, תיקן את חטאיו, ובמשך זמן רב נמנע מלחטוא </w:t>
      </w:r>
      <w:r w:rsidR="007F1774" w:rsidRPr="00EB5A7B">
        <w:rPr>
          <w:rFonts w:cs="David"/>
          <w:sz w:val="24"/>
          <w:szCs w:val="24"/>
          <w:rtl/>
        </w:rPr>
        <w:t>–</w:t>
      </w:r>
      <w:r w:rsidR="007F1774" w:rsidRPr="00EB5A7B">
        <w:rPr>
          <w:rFonts w:cs="David" w:hint="cs"/>
          <w:sz w:val="24"/>
          <w:szCs w:val="24"/>
          <w:rtl/>
        </w:rPr>
        <w:t xml:space="preserve"> אסור להזכיר </w:t>
      </w:r>
      <w:r w:rsidR="00CD3A02">
        <w:rPr>
          <w:rFonts w:cs="David" w:hint="cs"/>
          <w:sz w:val="24"/>
          <w:szCs w:val="24"/>
          <w:rtl/>
        </w:rPr>
        <w:t>את</w:t>
      </w:r>
      <w:r w:rsidR="007F1774" w:rsidRPr="00EB5A7B">
        <w:rPr>
          <w:rFonts w:cs="David" w:hint="cs"/>
          <w:sz w:val="24"/>
          <w:szCs w:val="24"/>
          <w:rtl/>
        </w:rPr>
        <w:t xml:space="preserve"> מעשיו הראשונים.</w:t>
      </w:r>
      <w:r w:rsidR="00C860A5">
        <w:rPr>
          <w:rStyle w:val="af0"/>
          <w:sz w:val="24"/>
          <w:szCs w:val="24"/>
          <w:rtl/>
        </w:rPr>
        <w:endnoteReference w:id="10"/>
      </w:r>
      <w:r w:rsidR="007F1774" w:rsidRPr="00EB5A7B">
        <w:rPr>
          <w:rFonts w:cs="David" w:hint="cs"/>
          <w:sz w:val="24"/>
          <w:szCs w:val="24"/>
          <w:rtl/>
        </w:rPr>
        <w:t xml:space="preserve"> </w:t>
      </w:r>
      <w:r w:rsidR="009F7D2E">
        <w:rPr>
          <w:rFonts w:cs="David" w:hint="cs"/>
          <w:sz w:val="24"/>
          <w:szCs w:val="24"/>
          <w:rtl/>
        </w:rPr>
        <w:t xml:space="preserve">פרסום שמות </w:t>
      </w:r>
      <w:r w:rsidR="00C860A5" w:rsidRPr="00EB5A7B">
        <w:rPr>
          <w:rFonts w:cs="David" w:hint="cs"/>
          <w:sz w:val="24"/>
          <w:szCs w:val="24"/>
          <w:rtl/>
        </w:rPr>
        <w:t>עבריינים בפסקי דין</w:t>
      </w:r>
      <w:r w:rsidR="009F7D2E">
        <w:rPr>
          <w:rFonts w:cs="David" w:hint="cs"/>
          <w:sz w:val="24"/>
          <w:szCs w:val="24"/>
          <w:rtl/>
        </w:rPr>
        <w:t xml:space="preserve"> </w:t>
      </w:r>
      <w:r w:rsidR="009F7D2E">
        <w:rPr>
          <w:rFonts w:cs="David"/>
          <w:sz w:val="24"/>
          <w:szCs w:val="24"/>
          <w:rtl/>
        </w:rPr>
        <w:t>–</w:t>
      </w:r>
      <w:r w:rsidR="009F7D2E">
        <w:rPr>
          <w:rFonts w:cs="David" w:hint="cs"/>
          <w:sz w:val="24"/>
          <w:szCs w:val="24"/>
          <w:rtl/>
        </w:rPr>
        <w:t>שיונצח כאמור לדורות</w:t>
      </w:r>
      <w:r w:rsidR="00C860A5" w:rsidRPr="00EB5A7B">
        <w:rPr>
          <w:rFonts w:cs="David" w:hint="cs"/>
          <w:sz w:val="24"/>
          <w:szCs w:val="24"/>
          <w:rtl/>
        </w:rPr>
        <w:t xml:space="preserve"> </w:t>
      </w:r>
      <w:r w:rsidR="009F7D2E">
        <w:rPr>
          <w:rFonts w:cs="David"/>
          <w:sz w:val="24"/>
          <w:szCs w:val="24"/>
          <w:rtl/>
        </w:rPr>
        <w:t>–</w:t>
      </w:r>
      <w:r w:rsidR="009F7D2E">
        <w:rPr>
          <w:rFonts w:cs="David" w:hint="cs"/>
          <w:sz w:val="24"/>
          <w:szCs w:val="24"/>
          <w:rtl/>
        </w:rPr>
        <w:t xml:space="preserve"> </w:t>
      </w:r>
      <w:r w:rsidR="00C860A5" w:rsidRPr="00EB5A7B">
        <w:rPr>
          <w:rFonts w:cs="David" w:hint="cs"/>
          <w:sz w:val="24"/>
          <w:szCs w:val="24"/>
          <w:rtl/>
        </w:rPr>
        <w:t>עומד בסתירה ל</w:t>
      </w:r>
      <w:r w:rsidR="009F7D2E">
        <w:rPr>
          <w:rFonts w:cs="David" w:hint="cs"/>
          <w:sz w:val="24"/>
          <w:szCs w:val="24"/>
          <w:rtl/>
        </w:rPr>
        <w:t>עיקרון זה ול</w:t>
      </w:r>
      <w:r w:rsidR="00C860A5" w:rsidRPr="00EB5A7B">
        <w:rPr>
          <w:rFonts w:cs="David" w:hint="cs"/>
          <w:sz w:val="24"/>
          <w:szCs w:val="24"/>
          <w:rtl/>
        </w:rPr>
        <w:t>מגמ</w:t>
      </w:r>
      <w:r w:rsidR="009F7D2E">
        <w:rPr>
          <w:rFonts w:cs="David" w:hint="cs"/>
          <w:sz w:val="24"/>
          <w:szCs w:val="24"/>
          <w:rtl/>
        </w:rPr>
        <w:t>ת</w:t>
      </w:r>
      <w:r w:rsidR="00C860A5" w:rsidRPr="00EB5A7B">
        <w:rPr>
          <w:rFonts w:cs="David" w:hint="cs"/>
          <w:sz w:val="24"/>
          <w:szCs w:val="24"/>
          <w:rtl/>
        </w:rPr>
        <w:t xml:space="preserve">ה של התורה לעודד </w:t>
      </w:r>
      <w:r w:rsidR="009F7D2E">
        <w:rPr>
          <w:rFonts w:cs="David" w:hint="cs"/>
          <w:sz w:val="24"/>
          <w:szCs w:val="24"/>
          <w:rtl/>
        </w:rPr>
        <w:t>עבריינים לחזור</w:t>
      </w:r>
      <w:r w:rsidR="00C860A5" w:rsidRPr="00EB5A7B">
        <w:rPr>
          <w:rFonts w:cs="David" w:hint="cs"/>
          <w:sz w:val="24"/>
          <w:szCs w:val="24"/>
          <w:rtl/>
        </w:rPr>
        <w:t xml:space="preserve"> בתשובה</w:t>
      </w:r>
      <w:r w:rsidR="009F7D2E">
        <w:rPr>
          <w:rFonts w:cs="David" w:hint="cs"/>
          <w:sz w:val="24"/>
          <w:szCs w:val="24"/>
          <w:rtl/>
        </w:rPr>
        <w:t xml:space="preserve"> </w:t>
      </w:r>
      <w:r w:rsidR="00CD3A02">
        <w:rPr>
          <w:rFonts w:cs="David" w:hint="cs"/>
          <w:sz w:val="24"/>
          <w:szCs w:val="24"/>
          <w:rtl/>
        </w:rPr>
        <w:t xml:space="preserve">(מגמה </w:t>
      </w:r>
      <w:r w:rsidR="009F7D2E">
        <w:rPr>
          <w:rFonts w:cs="David" w:hint="cs"/>
          <w:sz w:val="24"/>
          <w:szCs w:val="24"/>
          <w:rtl/>
        </w:rPr>
        <w:t>המכונה בהלכה 'תקנת השבים'</w:t>
      </w:r>
      <w:r w:rsidR="00CD3A02">
        <w:rPr>
          <w:rFonts w:cs="David" w:hint="cs"/>
          <w:sz w:val="24"/>
          <w:szCs w:val="24"/>
          <w:rtl/>
        </w:rPr>
        <w:t>)</w:t>
      </w:r>
      <w:r w:rsidR="00C860A5" w:rsidRPr="00EB5A7B">
        <w:rPr>
          <w:rFonts w:cs="David" w:hint="cs"/>
          <w:sz w:val="24"/>
          <w:szCs w:val="24"/>
          <w:rtl/>
        </w:rPr>
        <w:t>.</w:t>
      </w:r>
      <w:r w:rsidR="00C860A5">
        <w:rPr>
          <w:rStyle w:val="af0"/>
          <w:sz w:val="24"/>
          <w:szCs w:val="24"/>
          <w:rtl/>
        </w:rPr>
        <w:endnoteReference w:id="11"/>
      </w:r>
      <w:r w:rsidR="00C860A5" w:rsidRPr="00EB5A7B">
        <w:rPr>
          <w:rFonts w:cs="David" w:hint="cs"/>
          <w:sz w:val="24"/>
          <w:szCs w:val="24"/>
          <w:rtl/>
        </w:rPr>
        <w:t xml:space="preserve"> ראוי לציין ש'תקנת השבים' אומצה גם על ידי מדינת ישראל ב</w:t>
      </w:r>
      <w:r w:rsidR="00C860A5" w:rsidRPr="00EB5A7B">
        <w:rPr>
          <w:rFonts w:cs="David"/>
          <w:sz w:val="24"/>
          <w:szCs w:val="24"/>
          <w:rtl/>
        </w:rPr>
        <w:t>חוק ה</w:t>
      </w:r>
      <w:r>
        <w:rPr>
          <w:rFonts w:cs="David"/>
          <w:sz w:val="24"/>
          <w:szCs w:val="24"/>
          <w:rtl/>
        </w:rPr>
        <w:t xml:space="preserve">מרשם הפלילי ותקנת השבים, </w:t>
      </w:r>
      <w:proofErr w:type="spellStart"/>
      <w:r>
        <w:rPr>
          <w:rFonts w:cs="David"/>
          <w:sz w:val="24"/>
          <w:szCs w:val="24"/>
          <w:rtl/>
        </w:rPr>
        <w:t>התשמ"א</w:t>
      </w:r>
      <w:proofErr w:type="spellEnd"/>
      <w:r w:rsidR="00C860A5" w:rsidRPr="00EB5A7B">
        <w:rPr>
          <w:rFonts w:cs="David"/>
          <w:sz w:val="24"/>
          <w:szCs w:val="24"/>
          <w:rtl/>
        </w:rPr>
        <w:t>–1981</w:t>
      </w:r>
      <w:r w:rsidR="00C860A5" w:rsidRPr="00EB5A7B">
        <w:rPr>
          <w:rFonts w:cs="David" w:hint="cs"/>
          <w:sz w:val="24"/>
          <w:szCs w:val="24"/>
          <w:rtl/>
        </w:rPr>
        <w:t xml:space="preserve">, הקובע כי לאחר תקופת התיישנות </w:t>
      </w:r>
      <w:r>
        <w:rPr>
          <w:rFonts w:cs="David" w:hint="cs"/>
          <w:sz w:val="24"/>
          <w:szCs w:val="24"/>
          <w:rtl/>
        </w:rPr>
        <w:t>'</w:t>
      </w:r>
      <w:r>
        <w:rPr>
          <w:rFonts w:cs="David"/>
          <w:sz w:val="24"/>
          <w:szCs w:val="24"/>
          <w:rtl/>
        </w:rPr>
        <w:t>נמחק</w:t>
      </w:r>
      <w:r>
        <w:rPr>
          <w:rFonts w:cs="David" w:hint="cs"/>
          <w:sz w:val="24"/>
          <w:szCs w:val="24"/>
          <w:rtl/>
        </w:rPr>
        <w:t>'</w:t>
      </w:r>
      <w:r w:rsidR="00C860A5" w:rsidRPr="00EB5A7B">
        <w:rPr>
          <w:rFonts w:cs="David"/>
          <w:sz w:val="24"/>
          <w:szCs w:val="24"/>
          <w:rtl/>
        </w:rPr>
        <w:t xml:space="preserve"> ה</w:t>
      </w:r>
      <w:r w:rsidR="00CD3A02">
        <w:rPr>
          <w:rFonts w:cs="David" w:hint="cs"/>
          <w:sz w:val="24"/>
          <w:szCs w:val="24"/>
          <w:rtl/>
        </w:rPr>
        <w:t>רישום</w:t>
      </w:r>
      <w:r w:rsidR="00C860A5" w:rsidRPr="00EB5A7B">
        <w:rPr>
          <w:rFonts w:cs="David" w:hint="cs"/>
          <w:sz w:val="24"/>
          <w:szCs w:val="24"/>
          <w:rtl/>
        </w:rPr>
        <w:t xml:space="preserve"> הפלילי</w:t>
      </w:r>
      <w:r w:rsidR="00C860A5" w:rsidRPr="00EB5A7B">
        <w:rPr>
          <w:rFonts w:cs="David"/>
          <w:sz w:val="24"/>
          <w:szCs w:val="24"/>
          <w:rtl/>
        </w:rPr>
        <w:t xml:space="preserve"> ו</w:t>
      </w:r>
      <w:r w:rsidR="009F7D2E">
        <w:rPr>
          <w:rFonts w:cs="David" w:hint="cs"/>
          <w:sz w:val="24"/>
          <w:szCs w:val="24"/>
          <w:rtl/>
        </w:rPr>
        <w:t xml:space="preserve">אין לאף אדם </w:t>
      </w:r>
      <w:r w:rsidR="00C860A5" w:rsidRPr="00EB5A7B">
        <w:rPr>
          <w:rFonts w:cs="David"/>
          <w:sz w:val="24"/>
          <w:szCs w:val="24"/>
          <w:rtl/>
        </w:rPr>
        <w:t xml:space="preserve">רשות לקבל מידע בעניין זה אלא </w:t>
      </w:r>
      <w:r w:rsidR="00C860A5" w:rsidRPr="00EB5A7B">
        <w:rPr>
          <w:rFonts w:cs="David" w:hint="cs"/>
          <w:sz w:val="24"/>
          <w:szCs w:val="24"/>
          <w:rtl/>
        </w:rPr>
        <w:t>במקרים חריגים הנוגעים לב</w:t>
      </w:r>
      <w:r>
        <w:rPr>
          <w:rFonts w:cs="David" w:hint="cs"/>
          <w:sz w:val="24"/>
          <w:szCs w:val="24"/>
          <w:rtl/>
        </w:rPr>
        <w:t>י</w:t>
      </w:r>
      <w:r w:rsidR="00C860A5" w:rsidRPr="00EB5A7B">
        <w:rPr>
          <w:rFonts w:cs="David" w:hint="cs"/>
          <w:sz w:val="24"/>
          <w:szCs w:val="24"/>
          <w:rtl/>
        </w:rPr>
        <w:t>טחון המדינה.</w:t>
      </w:r>
      <w:r w:rsidR="00C860A5">
        <w:rPr>
          <w:rStyle w:val="af0"/>
          <w:sz w:val="24"/>
          <w:szCs w:val="24"/>
          <w:rtl/>
        </w:rPr>
        <w:endnoteReference w:id="12"/>
      </w:r>
    </w:p>
    <w:p w:rsidR="00B67482" w:rsidRPr="00EB5A7B" w:rsidRDefault="00A81E14" w:rsidP="00EB5A7B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לאור האמור, רבני </w:t>
      </w:r>
      <w:r w:rsidR="00EB5A7B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EB5A7B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7F1774">
        <w:rPr>
          <w:rFonts w:cs="David" w:hint="cs"/>
          <w:b/>
          <w:bCs/>
          <w:sz w:val="24"/>
          <w:szCs w:val="24"/>
          <w:rtl/>
        </w:rPr>
        <w:t xml:space="preserve">ממליצים כי </w:t>
      </w:r>
      <w:r w:rsidR="00C860A5">
        <w:rPr>
          <w:rFonts w:cs="David" w:hint="cs"/>
          <w:b/>
          <w:bCs/>
          <w:sz w:val="24"/>
          <w:szCs w:val="24"/>
          <w:rtl/>
        </w:rPr>
        <w:t xml:space="preserve">מפסקי הדין </w:t>
      </w:r>
      <w:r w:rsidR="00EB5A7B">
        <w:rPr>
          <w:rFonts w:cs="David" w:hint="cs"/>
          <w:b/>
          <w:bCs/>
          <w:sz w:val="24"/>
          <w:szCs w:val="24"/>
          <w:rtl/>
        </w:rPr>
        <w:t xml:space="preserve">יושמטו שמות הצדדים ופרטים מזהים אחרים </w:t>
      </w:r>
      <w:r w:rsidR="00EB5A7B">
        <w:rPr>
          <w:rFonts w:cs="David"/>
          <w:b/>
          <w:bCs/>
          <w:sz w:val="24"/>
          <w:szCs w:val="24"/>
          <w:rtl/>
        </w:rPr>
        <w:t>–</w:t>
      </w:r>
      <w:r w:rsidR="00EB5A7B">
        <w:rPr>
          <w:rFonts w:cs="David" w:hint="cs"/>
          <w:b/>
          <w:bCs/>
          <w:sz w:val="24"/>
          <w:szCs w:val="24"/>
          <w:rtl/>
        </w:rPr>
        <w:t xml:space="preserve"> </w:t>
      </w:r>
      <w:r w:rsidR="00C860A5">
        <w:rPr>
          <w:rFonts w:cs="David" w:hint="cs"/>
          <w:b/>
          <w:bCs/>
          <w:sz w:val="24"/>
          <w:szCs w:val="24"/>
          <w:rtl/>
        </w:rPr>
        <w:t>ש</w:t>
      </w:r>
      <w:r w:rsidR="00EB5A7B">
        <w:rPr>
          <w:rFonts w:cs="David" w:hint="cs"/>
          <w:b/>
          <w:bCs/>
          <w:sz w:val="24"/>
          <w:szCs w:val="24"/>
          <w:rtl/>
        </w:rPr>
        <w:t>להם ושל אנשים אחרים המוזכרים</w:t>
      </w:r>
      <w:r w:rsidR="00C860A5">
        <w:rPr>
          <w:rFonts w:cs="David" w:hint="cs"/>
          <w:b/>
          <w:bCs/>
          <w:sz w:val="24"/>
          <w:szCs w:val="24"/>
          <w:rtl/>
        </w:rPr>
        <w:t xml:space="preserve"> </w:t>
      </w:r>
      <w:r w:rsidR="00EB5A7B">
        <w:rPr>
          <w:rFonts w:cs="David" w:hint="cs"/>
          <w:b/>
          <w:bCs/>
          <w:sz w:val="24"/>
          <w:szCs w:val="24"/>
          <w:rtl/>
        </w:rPr>
        <w:t xml:space="preserve">בפסק הדין </w:t>
      </w:r>
      <w:r w:rsidR="00EB5A7B">
        <w:rPr>
          <w:rFonts w:cs="David"/>
          <w:b/>
          <w:bCs/>
          <w:sz w:val="24"/>
          <w:szCs w:val="24"/>
          <w:rtl/>
        </w:rPr>
        <w:t>–</w:t>
      </w:r>
      <w:r w:rsidR="00EB5A7B">
        <w:rPr>
          <w:rFonts w:cs="David" w:hint="cs"/>
          <w:b/>
          <w:bCs/>
          <w:sz w:val="24"/>
          <w:szCs w:val="24"/>
          <w:rtl/>
        </w:rPr>
        <w:t xml:space="preserve"> </w:t>
      </w:r>
      <w:r w:rsidR="00C860A5">
        <w:rPr>
          <w:rFonts w:cs="David" w:hint="cs"/>
          <w:b/>
          <w:bCs/>
          <w:sz w:val="24"/>
          <w:szCs w:val="24"/>
          <w:rtl/>
        </w:rPr>
        <w:t>למעט ב</w:t>
      </w:r>
      <w:r w:rsidR="00EB5A7B">
        <w:rPr>
          <w:rFonts w:cs="David" w:hint="cs"/>
          <w:b/>
          <w:bCs/>
          <w:sz w:val="24"/>
          <w:szCs w:val="24"/>
          <w:rtl/>
        </w:rPr>
        <w:t xml:space="preserve">מקרה שבו </w:t>
      </w:r>
      <w:r w:rsidR="00C860A5">
        <w:rPr>
          <w:rFonts w:cs="David" w:hint="cs"/>
          <w:b/>
          <w:bCs/>
          <w:sz w:val="24"/>
          <w:szCs w:val="24"/>
          <w:rtl/>
        </w:rPr>
        <w:t xml:space="preserve">החליט בית המשפט </w:t>
      </w:r>
      <w:r w:rsidR="00EB5A7B">
        <w:rPr>
          <w:rFonts w:cs="David" w:hint="cs"/>
          <w:b/>
          <w:bCs/>
          <w:sz w:val="24"/>
          <w:szCs w:val="24"/>
          <w:rtl/>
        </w:rPr>
        <w:t xml:space="preserve">כי </w:t>
      </w:r>
      <w:r w:rsidR="00C860A5">
        <w:rPr>
          <w:rFonts w:cs="David" w:hint="cs"/>
          <w:b/>
          <w:bCs/>
          <w:sz w:val="24"/>
          <w:szCs w:val="24"/>
          <w:rtl/>
        </w:rPr>
        <w:t>בפרסו</w:t>
      </w:r>
      <w:r w:rsidR="00EB5A7B">
        <w:rPr>
          <w:rFonts w:cs="David" w:hint="cs"/>
          <w:b/>
          <w:bCs/>
          <w:sz w:val="24"/>
          <w:szCs w:val="24"/>
          <w:rtl/>
        </w:rPr>
        <w:t>מ</w:t>
      </w:r>
      <w:r w:rsidR="00C860A5">
        <w:rPr>
          <w:rFonts w:cs="David" w:hint="cs"/>
          <w:b/>
          <w:bCs/>
          <w:sz w:val="24"/>
          <w:szCs w:val="24"/>
          <w:rtl/>
        </w:rPr>
        <w:t>ם</w:t>
      </w:r>
      <w:r w:rsidR="00EB5A7B">
        <w:rPr>
          <w:rFonts w:cs="David" w:hint="cs"/>
          <w:b/>
          <w:bCs/>
          <w:sz w:val="24"/>
          <w:szCs w:val="24"/>
          <w:rtl/>
        </w:rPr>
        <w:t xml:space="preserve"> של פרטים אלה יש</w:t>
      </w:r>
      <w:r w:rsidR="00C860A5">
        <w:rPr>
          <w:rFonts w:cs="David" w:hint="cs"/>
          <w:b/>
          <w:bCs/>
          <w:sz w:val="24"/>
          <w:szCs w:val="24"/>
          <w:rtl/>
        </w:rPr>
        <w:t xml:space="preserve"> תועלת ממשית לציבור.</w:t>
      </w:r>
    </w:p>
    <w:sectPr w:rsidR="00B67482" w:rsidRPr="00EB5A7B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46" w:rsidRDefault="00636346">
      <w:r>
        <w:separator/>
      </w:r>
    </w:p>
  </w:endnote>
  <w:endnote w:type="continuationSeparator" w:id="0">
    <w:p w:rsidR="00636346" w:rsidRDefault="00636346">
      <w:r>
        <w:continuationSeparator/>
      </w:r>
    </w:p>
  </w:endnote>
  <w:endnote w:id="1">
    <w:p w:rsidR="00FE6E5C" w:rsidRDefault="00FE6E5C" w:rsidP="00EB5A7B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דברי המבוא מבוססים על הצעת חוק </w:t>
      </w:r>
      <w:r w:rsidRPr="00866B4C">
        <w:rPr>
          <w:rtl/>
        </w:rPr>
        <w:t>פ/2939/17</w:t>
      </w:r>
      <w:r>
        <w:rPr>
          <w:rFonts w:hint="cs"/>
          <w:rtl/>
        </w:rPr>
        <w:t>,</w:t>
      </w:r>
      <w:r w:rsidRPr="00866B4C">
        <w:rPr>
          <w:rtl/>
        </w:rPr>
        <w:tab/>
        <w:t xml:space="preserve">הצעת חוק בתי המשפט (תיקון </w:t>
      </w:r>
      <w:r>
        <w:rPr>
          <w:rtl/>
        </w:rPr>
        <w:t>–</w:t>
      </w:r>
      <w:r w:rsidRPr="00866B4C">
        <w:rPr>
          <w:rtl/>
        </w:rPr>
        <w:t xml:space="preserve"> </w:t>
      </w:r>
      <w:proofErr w:type="spellStart"/>
      <w:r w:rsidRPr="00866B4C">
        <w:rPr>
          <w:rtl/>
        </w:rPr>
        <w:t>אי</w:t>
      </w:r>
      <w:r>
        <w:rPr>
          <w:rFonts w:hint="cs"/>
          <w:rtl/>
        </w:rPr>
        <w:t>־</w:t>
      </w:r>
      <w:r w:rsidRPr="00866B4C">
        <w:rPr>
          <w:rtl/>
        </w:rPr>
        <w:t>ציון</w:t>
      </w:r>
      <w:proofErr w:type="spellEnd"/>
      <w:r w:rsidRPr="00866B4C">
        <w:rPr>
          <w:rtl/>
        </w:rPr>
        <w:t xml:space="preserve"> שמות בפסקי דין), </w:t>
      </w:r>
      <w:proofErr w:type="spellStart"/>
      <w:r w:rsidRPr="00866B4C">
        <w:rPr>
          <w:rtl/>
        </w:rPr>
        <w:t>התשס"ח</w:t>
      </w:r>
      <w:proofErr w:type="spellEnd"/>
      <w:r>
        <w:rPr>
          <w:rtl/>
        </w:rPr>
        <w:t>–</w:t>
      </w:r>
      <w:r w:rsidRPr="00866B4C">
        <w:rPr>
          <w:rtl/>
        </w:rPr>
        <w:t>2007</w:t>
      </w:r>
      <w:r>
        <w:rPr>
          <w:rFonts w:hint="cs"/>
          <w:rtl/>
        </w:rPr>
        <w:t xml:space="preserve">, שהוגשה על ידי ח"כ ניסן סלומינסקי, וכן על </w:t>
      </w:r>
      <w:r>
        <w:rPr>
          <w:rtl/>
        </w:rPr>
        <w:t>פרוטוקול מס' 336</w:t>
      </w:r>
      <w:r>
        <w:rPr>
          <w:rFonts w:hint="cs"/>
          <w:rtl/>
        </w:rPr>
        <w:t xml:space="preserve"> </w:t>
      </w:r>
      <w:r>
        <w:rPr>
          <w:rtl/>
        </w:rPr>
        <w:t>מישיבת ועדת חוקה, חוק ומשפט</w:t>
      </w:r>
      <w:r>
        <w:rPr>
          <w:rFonts w:hint="cs"/>
          <w:rtl/>
        </w:rPr>
        <w:t>, מ</w:t>
      </w:r>
      <w:r>
        <w:rPr>
          <w:rtl/>
        </w:rPr>
        <w:t xml:space="preserve">יום שלישי, י"ח בשבט </w:t>
      </w:r>
      <w:proofErr w:type="spellStart"/>
      <w:r>
        <w:rPr>
          <w:rtl/>
        </w:rPr>
        <w:t>התשע"ז</w:t>
      </w:r>
      <w:proofErr w:type="spellEnd"/>
      <w:r>
        <w:rPr>
          <w:rFonts w:hint="cs"/>
          <w:rtl/>
        </w:rPr>
        <w:t>,</w:t>
      </w:r>
      <w:r>
        <w:rPr>
          <w:rtl/>
        </w:rPr>
        <w:t xml:space="preserve"> 14 בפברואר 2017</w:t>
      </w:r>
      <w:r>
        <w:rPr>
          <w:rFonts w:hint="cs"/>
          <w:rtl/>
        </w:rPr>
        <w:t>, בניהול יו"ר הוועדה ח"כ יעל גרמן.</w:t>
      </w:r>
    </w:p>
  </w:endnote>
  <w:endnote w:id="2">
    <w:p w:rsidR="00FE6E5C" w:rsidRDefault="00FE6E5C" w:rsidP="008F75CB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כך כתב פרופ' אליאב </w:t>
      </w:r>
      <w:proofErr w:type="spellStart"/>
      <w:r>
        <w:rPr>
          <w:rFonts w:hint="cs"/>
          <w:rtl/>
        </w:rPr>
        <w:t>שוחטמן</w:t>
      </w:r>
      <w:proofErr w:type="spellEnd"/>
      <w:r>
        <w:rPr>
          <w:rFonts w:hint="cs"/>
          <w:rtl/>
        </w:rPr>
        <w:t xml:space="preserve"> (</w:t>
      </w:r>
      <w:r w:rsidRPr="00866B4C">
        <w:rPr>
          <w:rtl/>
        </w:rPr>
        <w:t>סדר הדין בבית הדין הרבני</w:t>
      </w:r>
      <w:r>
        <w:rPr>
          <w:rFonts w:hint="cs"/>
          <w:rtl/>
        </w:rPr>
        <w:t>,</w:t>
      </w:r>
      <w:r w:rsidRPr="00866B4C">
        <w:rPr>
          <w:rtl/>
        </w:rPr>
        <w:t xml:space="preserve"> ירושלים תשע"א</w:t>
      </w:r>
      <w:r>
        <w:rPr>
          <w:rFonts w:hint="cs"/>
          <w:rtl/>
        </w:rPr>
        <w:t>, עמ'</w:t>
      </w:r>
      <w:r w:rsidRPr="00866B4C">
        <w:rPr>
          <w:rtl/>
        </w:rPr>
        <w:t xml:space="preserve"> 736</w:t>
      </w:r>
      <w:r>
        <w:rPr>
          <w:rFonts w:hint="cs"/>
          <w:rtl/>
        </w:rPr>
        <w:t>): "</w:t>
      </w:r>
      <w:r>
        <w:rPr>
          <w:rtl/>
        </w:rPr>
        <w:t>אין למצוא, לא במקורות הקדומים ולא בהלכה הפסוקה בשולחן ערוך</w:t>
      </w:r>
      <w:r w:rsidR="00CD3A02">
        <w:rPr>
          <w:rFonts w:hint="cs"/>
          <w:rtl/>
        </w:rPr>
        <w:t>,</w:t>
      </w:r>
      <w:r>
        <w:rPr>
          <w:rtl/>
        </w:rPr>
        <w:t xml:space="preserve"> הוראה עקרונית בעניין פומביות הדיון</w:t>
      </w:r>
      <w:r>
        <w:rPr>
          <w:rFonts w:hint="cs"/>
          <w:rtl/>
        </w:rPr>
        <w:t>".</w:t>
      </w:r>
    </w:p>
  </w:endnote>
  <w:endnote w:id="3">
    <w:p w:rsidR="00FE6E5C" w:rsidRDefault="00FE6E5C" w:rsidP="009F7D2E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9F7D2E">
        <w:rPr>
          <w:rFonts w:hint="cs"/>
          <w:rtl/>
        </w:rPr>
        <w:t>כך כתב מרן ר' יוסף קארו (</w:t>
      </w:r>
      <w:r>
        <w:rPr>
          <w:rFonts w:hint="cs"/>
          <w:rtl/>
        </w:rPr>
        <w:t>שו"ת אבקת רוכל</w:t>
      </w:r>
      <w:r w:rsidR="009F7D2E">
        <w:rPr>
          <w:rFonts w:hint="cs"/>
          <w:rtl/>
        </w:rPr>
        <w:t>,</w:t>
      </w:r>
      <w:r>
        <w:rPr>
          <w:rFonts w:hint="cs"/>
          <w:rtl/>
        </w:rPr>
        <w:t xml:space="preserve"> סימן </w:t>
      </w:r>
      <w:proofErr w:type="spellStart"/>
      <w:r>
        <w:rPr>
          <w:rFonts w:hint="cs"/>
          <w:rtl/>
        </w:rPr>
        <w:t>יז</w:t>
      </w:r>
      <w:proofErr w:type="spellEnd"/>
      <w:r w:rsidR="009F7D2E">
        <w:rPr>
          <w:rFonts w:hint="cs"/>
          <w:rtl/>
        </w:rPr>
        <w:t>)</w:t>
      </w:r>
      <w:r>
        <w:rPr>
          <w:rFonts w:hint="cs"/>
          <w:rtl/>
        </w:rPr>
        <w:t xml:space="preserve"> על בית דינו: "</w:t>
      </w:r>
      <w:r w:rsidRPr="00866B4C">
        <w:rPr>
          <w:rtl/>
        </w:rPr>
        <w:t xml:space="preserve">והנה בזמן הזה ב"ד העיר הזאת מומחה לרבים וגדול בחכמה </w:t>
      </w:r>
      <w:proofErr w:type="spellStart"/>
      <w:r w:rsidRPr="00866B4C">
        <w:rPr>
          <w:rtl/>
        </w:rPr>
        <w:t>ובמנין</w:t>
      </w:r>
      <w:proofErr w:type="spellEnd"/>
      <w:r w:rsidRPr="00866B4C">
        <w:rPr>
          <w:rtl/>
        </w:rPr>
        <w:t xml:space="preserve"> מכל המקומות ששמענו שומעם, ומארבע כנפות הארץ יריצו להם </w:t>
      </w:r>
      <w:proofErr w:type="spellStart"/>
      <w:r w:rsidRPr="00866B4C">
        <w:rPr>
          <w:rtl/>
        </w:rPr>
        <w:t>שאלותם</w:t>
      </w:r>
      <w:proofErr w:type="spellEnd"/>
      <w:r w:rsidRPr="00866B4C">
        <w:rPr>
          <w:rtl/>
        </w:rPr>
        <w:t xml:space="preserve">, ואחר דברי תשובתם לא ישובו. וכיון שכן, דין ב"ד הגדול יש להם, כל שכן </w:t>
      </w:r>
      <w:proofErr w:type="spellStart"/>
      <w:r w:rsidRPr="00866B4C">
        <w:rPr>
          <w:rtl/>
        </w:rPr>
        <w:t>שמנהום</w:t>
      </w:r>
      <w:proofErr w:type="spellEnd"/>
      <w:r w:rsidRPr="00866B4C">
        <w:rPr>
          <w:rtl/>
        </w:rPr>
        <w:t xml:space="preserve"> כל הקהילות עליהם. ואם כן התובע מהם: כתבו ותנו לי טעם </w:t>
      </w:r>
      <w:proofErr w:type="spellStart"/>
      <w:r w:rsidRPr="00866B4C">
        <w:rPr>
          <w:rtl/>
        </w:rPr>
        <w:t>דנתוני</w:t>
      </w:r>
      <w:proofErr w:type="spellEnd"/>
      <w:r w:rsidRPr="00866B4C">
        <w:rPr>
          <w:rtl/>
        </w:rPr>
        <w:t xml:space="preserve">, אפילו אם נתעצמו בדין, </w:t>
      </w:r>
      <w:proofErr w:type="spellStart"/>
      <w:r w:rsidRPr="00866B4C">
        <w:rPr>
          <w:rtl/>
        </w:rPr>
        <w:t>משמתינן</w:t>
      </w:r>
      <w:proofErr w:type="spellEnd"/>
      <w:r w:rsidRPr="00866B4C">
        <w:rPr>
          <w:rtl/>
        </w:rPr>
        <w:t xml:space="preserve"> ליה משום </w:t>
      </w:r>
      <w:proofErr w:type="spellStart"/>
      <w:r w:rsidRPr="00866B4C">
        <w:rPr>
          <w:rtl/>
        </w:rPr>
        <w:t>אפקרותא</w:t>
      </w:r>
      <w:proofErr w:type="spellEnd"/>
      <w:r w:rsidRPr="00866B4C">
        <w:rPr>
          <w:rtl/>
        </w:rPr>
        <w:t xml:space="preserve"> [=</w:t>
      </w:r>
      <w:proofErr w:type="spellStart"/>
      <w:r w:rsidRPr="00866B4C">
        <w:rPr>
          <w:rtl/>
        </w:rPr>
        <w:t>מנדין</w:t>
      </w:r>
      <w:proofErr w:type="spellEnd"/>
      <w:r w:rsidRPr="00866B4C">
        <w:rPr>
          <w:rtl/>
        </w:rPr>
        <w:t xml:space="preserve"> אותו משום שזלזל בבית הדין]</w:t>
      </w:r>
      <w:r>
        <w:rPr>
          <w:rFonts w:hint="cs"/>
          <w:rtl/>
        </w:rPr>
        <w:t>". לכל הפרש</w:t>
      </w:r>
      <w:r w:rsidR="00CD3A02">
        <w:rPr>
          <w:rFonts w:hint="cs"/>
          <w:rtl/>
        </w:rPr>
        <w:t>יי</w:t>
      </w:r>
      <w:r>
        <w:rPr>
          <w:rFonts w:hint="cs"/>
          <w:rtl/>
        </w:rPr>
        <w:t xml:space="preserve">ה ראו </w:t>
      </w:r>
      <w:r w:rsidRPr="00866B4C">
        <w:rPr>
          <w:rtl/>
        </w:rPr>
        <w:t xml:space="preserve">רועי אביחי </w:t>
      </w:r>
      <w:proofErr w:type="spellStart"/>
      <w:r w:rsidRPr="00866B4C">
        <w:rPr>
          <w:rtl/>
        </w:rPr>
        <w:t>שויקה</w:t>
      </w:r>
      <w:proofErr w:type="spellEnd"/>
      <w:r>
        <w:rPr>
          <w:rFonts w:hint="cs"/>
          <w:rtl/>
        </w:rPr>
        <w:t>, 'על חובת ההנמקה', פרשת השבוע, גיליון 334 (וירא תשס"ט).</w:t>
      </w:r>
    </w:p>
  </w:endnote>
  <w:endnote w:id="4">
    <w:p w:rsidR="00FE6E5C" w:rsidRDefault="00FE6E5C" w:rsidP="008F75CB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משפטי עוזיאל, כרך ד, חושן משפט,</w:t>
      </w:r>
      <w:r w:rsidR="00CD3A02">
        <w:rPr>
          <w:rFonts w:hint="cs"/>
          <w:rtl/>
        </w:rPr>
        <w:t xml:space="preserve"> </w:t>
      </w:r>
      <w:r>
        <w:rPr>
          <w:rFonts w:hint="cs"/>
          <w:rtl/>
        </w:rPr>
        <w:t>סימן א.</w:t>
      </w:r>
      <w:r w:rsidRPr="00866B4C">
        <w:rPr>
          <w:rtl/>
        </w:rPr>
        <w:t xml:space="preserve"> לדיון מפו</w:t>
      </w:r>
      <w:r>
        <w:rPr>
          <w:rtl/>
        </w:rPr>
        <w:t>רט בחובת ההנמקה במשפט העברי, רא</w:t>
      </w:r>
      <w:r>
        <w:rPr>
          <w:rFonts w:hint="cs"/>
          <w:rtl/>
        </w:rPr>
        <w:t>ו</w:t>
      </w:r>
      <w:r>
        <w:rPr>
          <w:rtl/>
        </w:rPr>
        <w:t xml:space="preserve"> א</w:t>
      </w:r>
      <w:r>
        <w:rPr>
          <w:rFonts w:hint="cs"/>
          <w:rtl/>
        </w:rPr>
        <w:t>ליאב</w:t>
      </w:r>
      <w:r w:rsidRPr="00866B4C">
        <w:rPr>
          <w:rtl/>
        </w:rPr>
        <w:t xml:space="preserve"> </w:t>
      </w:r>
      <w:proofErr w:type="spellStart"/>
      <w:r w:rsidRPr="00866B4C">
        <w:rPr>
          <w:rtl/>
        </w:rPr>
        <w:t>שוחטמן</w:t>
      </w:r>
      <w:proofErr w:type="spellEnd"/>
      <w:r w:rsidRPr="00866B4C">
        <w:rPr>
          <w:rtl/>
        </w:rPr>
        <w:t>, "חובת ההנמקה במשפט העברי", שנתון המשפט העברי</w:t>
      </w:r>
      <w:r w:rsidR="0079676D">
        <w:rPr>
          <w:rFonts w:hint="cs"/>
          <w:rtl/>
        </w:rPr>
        <w:t>,</w:t>
      </w:r>
      <w:r w:rsidRPr="00866B4C">
        <w:rPr>
          <w:rtl/>
        </w:rPr>
        <w:t xml:space="preserve"> ו</w:t>
      </w:r>
      <w:r>
        <w:rPr>
          <w:rtl/>
        </w:rPr>
        <w:t>–</w:t>
      </w:r>
      <w:r w:rsidRPr="00866B4C">
        <w:rPr>
          <w:rtl/>
        </w:rPr>
        <w:t>ז (תשל"ט</w:t>
      </w:r>
      <w:r>
        <w:rPr>
          <w:rtl/>
        </w:rPr>
        <w:t>–</w:t>
      </w:r>
      <w:r w:rsidRPr="00866B4C">
        <w:rPr>
          <w:rtl/>
        </w:rPr>
        <w:t>ת</w:t>
      </w:r>
      <w:r>
        <w:rPr>
          <w:rtl/>
        </w:rPr>
        <w:t>ש"</w:t>
      </w:r>
      <w:r>
        <w:rPr>
          <w:rFonts w:hint="cs"/>
          <w:rtl/>
        </w:rPr>
        <w:t>מ</w:t>
      </w:r>
      <w:r w:rsidRPr="00866B4C">
        <w:rPr>
          <w:rtl/>
        </w:rPr>
        <w:t xml:space="preserve">), עמ' </w:t>
      </w:r>
      <w:r>
        <w:rPr>
          <w:rFonts w:hint="cs"/>
          <w:rtl/>
        </w:rPr>
        <w:t>319</w:t>
      </w:r>
      <w:r>
        <w:rPr>
          <w:rtl/>
        </w:rPr>
        <w:t>–</w:t>
      </w:r>
      <w:r>
        <w:rPr>
          <w:rFonts w:hint="cs"/>
          <w:rtl/>
        </w:rPr>
        <w:t>397</w:t>
      </w:r>
      <w:r w:rsidRPr="00866B4C">
        <w:rPr>
          <w:rtl/>
        </w:rPr>
        <w:t>.</w:t>
      </w:r>
    </w:p>
  </w:endnote>
  <w:endnote w:id="5">
    <w:p w:rsidR="00FE6E5C" w:rsidRDefault="00FE6E5C" w:rsidP="00CD3A02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ייתכן כי לצרכים סטטיסטיים מסוימים </w:t>
      </w:r>
      <w:r w:rsidR="00CD3A02">
        <w:rPr>
          <w:rFonts w:hint="cs"/>
          <w:rtl/>
        </w:rPr>
        <w:t>יש חשיבות לשמות הצדדים</w:t>
      </w:r>
      <w:r>
        <w:rPr>
          <w:rFonts w:hint="cs"/>
          <w:rtl/>
        </w:rPr>
        <w:t xml:space="preserve"> </w:t>
      </w:r>
      <w:r w:rsidR="00CD3A02">
        <w:rPr>
          <w:rFonts w:hint="cs"/>
          <w:rtl/>
        </w:rPr>
        <w:t>(</w:t>
      </w:r>
      <w:r>
        <w:rPr>
          <w:rFonts w:hint="cs"/>
          <w:rtl/>
        </w:rPr>
        <w:t>כגון בזיהוי הטיה של השופטים לטובת עדו</w:t>
      </w:r>
      <w:r w:rsidR="00CD3A02">
        <w:rPr>
          <w:rFonts w:hint="cs"/>
          <w:rtl/>
        </w:rPr>
        <w:t>יו</w:t>
      </w:r>
      <w:r>
        <w:rPr>
          <w:rFonts w:hint="cs"/>
          <w:rtl/>
        </w:rPr>
        <w:t xml:space="preserve">ת מסוימות </w:t>
      </w:r>
      <w:r w:rsidR="00CD3A02">
        <w:rPr>
          <w:rFonts w:hint="cs"/>
          <w:rtl/>
        </w:rPr>
        <w:t>או נגדן)</w:t>
      </w:r>
      <w:r>
        <w:rPr>
          <w:rFonts w:hint="cs"/>
          <w:rtl/>
        </w:rPr>
        <w:t>.</w:t>
      </w:r>
      <w:r w:rsidR="00CD3A02">
        <w:rPr>
          <w:rFonts w:hint="cs"/>
          <w:rtl/>
        </w:rPr>
        <w:t xml:space="preserve"> לכן </w:t>
      </w:r>
      <w:r>
        <w:rPr>
          <w:rFonts w:hint="cs"/>
          <w:rtl/>
        </w:rPr>
        <w:t>מוצע כי לצ</w:t>
      </w:r>
      <w:r w:rsidR="00CD3A02">
        <w:rPr>
          <w:rFonts w:hint="cs"/>
          <w:rtl/>
        </w:rPr>
        <w:t>ו</w:t>
      </w:r>
      <w:r>
        <w:rPr>
          <w:rFonts w:hint="cs"/>
          <w:rtl/>
        </w:rPr>
        <w:t>רכי מחקר תהיה אפשרות לגשת אל פסקי דין הכוללים בתוכם את שמות בעלי הדין; אך הפרסום הפומבי ייעשה רק לאחר השמטת שמות ופרטים מזהים.</w:t>
      </w:r>
    </w:p>
  </w:endnote>
  <w:endnote w:id="6">
    <w:p w:rsidR="00FE6E5C" w:rsidRDefault="00FE6E5C" w:rsidP="00CD3A02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CD3A02">
        <w:rPr>
          <w:rFonts w:hint="cs"/>
          <w:rtl/>
        </w:rPr>
        <w:t xml:space="preserve">משנה תורה, הלכות </w:t>
      </w:r>
      <w:r>
        <w:rPr>
          <w:rFonts w:hint="cs"/>
          <w:rtl/>
        </w:rPr>
        <w:t>דעות</w:t>
      </w:r>
      <w:r w:rsidR="00CD3A02">
        <w:rPr>
          <w:rFonts w:hint="cs"/>
          <w:rtl/>
        </w:rPr>
        <w:t>, פרק</w:t>
      </w:r>
      <w:r>
        <w:rPr>
          <w:rFonts w:hint="cs"/>
          <w:rtl/>
        </w:rPr>
        <w:t xml:space="preserve"> ז,</w:t>
      </w:r>
      <w:r w:rsidR="00CD3A02">
        <w:rPr>
          <w:rFonts w:hint="cs"/>
          <w:rtl/>
        </w:rPr>
        <w:t xml:space="preserve"> הלכה </w:t>
      </w:r>
      <w:r>
        <w:rPr>
          <w:rFonts w:hint="cs"/>
          <w:rtl/>
        </w:rPr>
        <w:t>ב.</w:t>
      </w:r>
    </w:p>
  </w:endnote>
  <w:endnote w:id="7">
    <w:p w:rsidR="00FE6E5C" w:rsidRDefault="00FE6E5C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שם</w:t>
      </w:r>
      <w:r w:rsidR="00CD3A02">
        <w:rPr>
          <w:rFonts w:hint="cs"/>
          <w:rtl/>
        </w:rPr>
        <w:t>,</w:t>
      </w:r>
      <w:r>
        <w:rPr>
          <w:rFonts w:hint="cs"/>
          <w:rtl/>
        </w:rPr>
        <w:t xml:space="preserve"> הלכה ד.</w:t>
      </w:r>
    </w:p>
  </w:endnote>
  <w:endnote w:id="8">
    <w:p w:rsidR="00FE6E5C" w:rsidRDefault="00FE6E5C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שם</w:t>
      </w:r>
      <w:r w:rsidR="00CD3A02">
        <w:rPr>
          <w:rFonts w:hint="cs"/>
          <w:rtl/>
        </w:rPr>
        <w:t>,</w:t>
      </w:r>
      <w:r>
        <w:rPr>
          <w:rFonts w:hint="cs"/>
          <w:rtl/>
        </w:rPr>
        <w:t xml:space="preserve"> הלכה ו.</w:t>
      </w:r>
    </w:p>
  </w:endnote>
  <w:endnote w:id="9">
    <w:p w:rsidR="00FE6E5C" w:rsidRDefault="00FE6E5C" w:rsidP="00CD3A02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CD3A02">
        <w:rPr>
          <w:rFonts w:hint="cs"/>
          <w:rtl/>
        </w:rPr>
        <w:t xml:space="preserve">חפץ חיים, </w:t>
      </w:r>
      <w:r>
        <w:rPr>
          <w:rFonts w:hint="cs"/>
          <w:rtl/>
        </w:rPr>
        <w:t>הלכות לשון הרע</w:t>
      </w:r>
      <w:r w:rsidR="00CD3A02">
        <w:rPr>
          <w:rFonts w:hint="cs"/>
          <w:rtl/>
        </w:rPr>
        <w:t>,</w:t>
      </w:r>
      <w:r>
        <w:rPr>
          <w:rFonts w:hint="cs"/>
          <w:rtl/>
        </w:rPr>
        <w:t xml:space="preserve"> כלל י.</w:t>
      </w:r>
    </w:p>
  </w:endnote>
  <w:endnote w:id="10">
    <w:p w:rsidR="00FE6E5C" w:rsidRDefault="00FE6E5C" w:rsidP="00CD3A02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משנה</w:t>
      </w:r>
      <w:r w:rsidR="00CD3A02">
        <w:rPr>
          <w:rFonts w:hint="cs"/>
          <w:rtl/>
        </w:rPr>
        <w:t>,</w:t>
      </w:r>
      <w:r>
        <w:rPr>
          <w:rFonts w:hint="cs"/>
          <w:rtl/>
        </w:rPr>
        <w:t xml:space="preserve"> ב</w:t>
      </w:r>
      <w:r w:rsidR="00CD3A02">
        <w:rPr>
          <w:rFonts w:hint="cs"/>
          <w:rtl/>
        </w:rPr>
        <w:t xml:space="preserve">בא מציעא, </w:t>
      </w:r>
      <w:r>
        <w:rPr>
          <w:rFonts w:hint="cs"/>
          <w:rtl/>
        </w:rPr>
        <w:t>ד,</w:t>
      </w:r>
      <w:r w:rsidR="00CD3A02">
        <w:rPr>
          <w:rFonts w:hint="cs"/>
          <w:rtl/>
        </w:rPr>
        <w:t xml:space="preserve"> </w:t>
      </w:r>
      <w:r>
        <w:rPr>
          <w:rFonts w:hint="cs"/>
          <w:rtl/>
        </w:rPr>
        <w:t>י.</w:t>
      </w:r>
    </w:p>
  </w:endnote>
  <w:endnote w:id="11">
    <w:p w:rsidR="00FE6E5C" w:rsidRDefault="00FE6E5C" w:rsidP="00CD3A02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CD3A02">
        <w:rPr>
          <w:rFonts w:hint="cs"/>
          <w:rtl/>
        </w:rPr>
        <w:t xml:space="preserve">ראו הרב </w:t>
      </w:r>
      <w:r>
        <w:rPr>
          <w:rFonts w:hint="cs"/>
          <w:rtl/>
        </w:rPr>
        <w:t xml:space="preserve"> </w:t>
      </w:r>
      <w:r w:rsidR="00CD3A02">
        <w:rPr>
          <w:rFonts w:hint="cs"/>
          <w:rtl/>
        </w:rPr>
        <w:t xml:space="preserve">פרופ' </w:t>
      </w:r>
      <w:r>
        <w:rPr>
          <w:rFonts w:hint="cs"/>
          <w:rtl/>
        </w:rPr>
        <w:t xml:space="preserve">נחום </w:t>
      </w:r>
      <w:proofErr w:type="spellStart"/>
      <w:r>
        <w:rPr>
          <w:rFonts w:hint="cs"/>
          <w:rtl/>
        </w:rPr>
        <w:t>רקובר</w:t>
      </w:r>
      <w:proofErr w:type="spellEnd"/>
      <w:r>
        <w:rPr>
          <w:rFonts w:hint="cs"/>
          <w:rtl/>
        </w:rPr>
        <w:t xml:space="preserve">, </w:t>
      </w:r>
      <w:r w:rsidRPr="00C860A5">
        <w:rPr>
          <w:rtl/>
        </w:rPr>
        <w:t>התשובה</w:t>
      </w:r>
      <w:r w:rsidR="00CD3A02">
        <w:rPr>
          <w:rFonts w:hint="cs"/>
          <w:rtl/>
        </w:rPr>
        <w:t>:</w:t>
      </w:r>
      <w:r w:rsidRPr="00C860A5">
        <w:rPr>
          <w:rtl/>
        </w:rPr>
        <w:t xml:space="preserve"> היבטים משפטיים</w:t>
      </w:r>
      <w:r>
        <w:rPr>
          <w:rFonts w:hint="cs"/>
          <w:rtl/>
        </w:rPr>
        <w:t xml:space="preserve">, </w:t>
      </w:r>
      <w:r w:rsidR="00CD3A02">
        <w:rPr>
          <w:rFonts w:hint="cs"/>
          <w:rtl/>
        </w:rPr>
        <w:t>פרשת השבוע</w:t>
      </w:r>
      <w:r>
        <w:rPr>
          <w:rFonts w:hint="cs"/>
          <w:rtl/>
        </w:rPr>
        <w:t>,</w:t>
      </w:r>
      <w:r w:rsidR="00CD3A02">
        <w:rPr>
          <w:rFonts w:hint="cs"/>
          <w:rtl/>
        </w:rPr>
        <w:t xml:space="preserve"> גיליון 43 (</w:t>
      </w:r>
      <w:r w:rsidRPr="00C860A5">
        <w:rPr>
          <w:rtl/>
        </w:rPr>
        <w:t>נ</w:t>
      </w:r>
      <w:r w:rsidR="00CD3A02">
        <w:rPr>
          <w:rFonts w:hint="cs"/>
          <w:rtl/>
        </w:rPr>
        <w:t>י</w:t>
      </w:r>
      <w:r w:rsidRPr="00C860A5">
        <w:rPr>
          <w:rtl/>
        </w:rPr>
        <w:t>צבים תשס"א</w:t>
      </w:r>
      <w:r w:rsidR="00CD3A02">
        <w:rPr>
          <w:rFonts w:hint="cs"/>
          <w:rtl/>
        </w:rPr>
        <w:t>)</w:t>
      </w:r>
      <w:r>
        <w:rPr>
          <w:rFonts w:hint="cs"/>
          <w:rtl/>
        </w:rPr>
        <w:t>.</w:t>
      </w:r>
    </w:p>
  </w:endnote>
  <w:endnote w:id="12">
    <w:p w:rsidR="00FE6E5C" w:rsidRDefault="00FE6E5C" w:rsidP="00CD3A02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CD3A02">
        <w:rPr>
          <w:rFonts w:hint="cs"/>
          <w:rtl/>
        </w:rPr>
        <w:t>ראו</w:t>
      </w:r>
      <w:r>
        <w:rPr>
          <w:rFonts w:hint="cs"/>
          <w:rtl/>
        </w:rPr>
        <w:t xml:space="preserve"> בעניין</w:t>
      </w:r>
      <w:r w:rsidR="00CD3A02">
        <w:rPr>
          <w:rFonts w:hint="cs"/>
          <w:rtl/>
        </w:rPr>
        <w:t xml:space="preserve"> זה באריכות בספרו של הרב פרופ'</w:t>
      </w:r>
      <w:r>
        <w:rPr>
          <w:rFonts w:hint="cs"/>
          <w:rtl/>
        </w:rPr>
        <w:t xml:space="preserve"> נחום </w:t>
      </w:r>
      <w:proofErr w:type="spellStart"/>
      <w:r>
        <w:rPr>
          <w:rFonts w:hint="cs"/>
          <w:rtl/>
        </w:rPr>
        <w:t>רקובר</w:t>
      </w:r>
      <w:proofErr w:type="spellEnd"/>
      <w:r>
        <w:rPr>
          <w:rFonts w:hint="cs"/>
          <w:rtl/>
        </w:rPr>
        <w:t xml:space="preserve">, </w:t>
      </w:r>
      <w:r w:rsidRPr="00C860A5">
        <w:rPr>
          <w:rtl/>
        </w:rPr>
        <w:t xml:space="preserve">תקנת השבים: עבריין שריצה את עונשו, </w:t>
      </w:r>
      <w:r w:rsidR="00CD3A02">
        <w:rPr>
          <w:rFonts w:hint="cs"/>
          <w:rtl/>
        </w:rPr>
        <w:t xml:space="preserve">ירושלים </w:t>
      </w:r>
      <w:r w:rsidRPr="00C860A5">
        <w:rPr>
          <w:rtl/>
        </w:rPr>
        <w:t>2007</w:t>
      </w:r>
      <w:r>
        <w:rPr>
          <w:rFonts w:hint="cs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E5C" w:rsidRDefault="00FE6E5C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04FC9" wp14:editId="6801A736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88E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>
      <w:rPr>
        <w:rFonts w:cs="Guttman Keren"/>
        <w:b/>
        <w:bCs/>
        <w:color w:val="365F91"/>
        <w:spacing w:val="-10"/>
        <w:rtl/>
      </w:rPr>
      <w:t xml:space="preserve">         </w:t>
    </w:r>
    <w:r>
      <w:rPr>
        <w:rFonts w:cs="Guttman Keren"/>
        <w:b/>
        <w:bCs/>
        <w:color w:val="365F91"/>
        <w:spacing w:val="-10"/>
        <w:rtl/>
      </w:rPr>
      <w:t>-----</w:t>
    </w:r>
  </w:p>
  <w:p w:rsidR="00FE6E5C" w:rsidRPr="00E55679" w:rsidRDefault="00FE6E5C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:rsidR="00FE6E5C" w:rsidRPr="00E55679" w:rsidRDefault="00636346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FE6E5C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FE6E5C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FE6E5C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FE6E5C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FE6E5C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FE6E5C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FE6E5C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FE6E5C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FE6E5C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:rsidR="00FE6E5C" w:rsidRPr="00E55679" w:rsidRDefault="00FE6E5C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46" w:rsidRDefault="00636346">
      <w:r>
        <w:separator/>
      </w:r>
    </w:p>
  </w:footnote>
  <w:footnote w:type="continuationSeparator" w:id="0">
    <w:p w:rsidR="00636346" w:rsidRDefault="0063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E5C" w:rsidRDefault="00FE6E5C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:rsidR="00FE6E5C" w:rsidRDefault="00FE6E5C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E5C" w:rsidRPr="00A81E14" w:rsidRDefault="00FE6E5C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34269DC" wp14:editId="35E3F184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E5C" w:rsidRDefault="00FE6E5C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:rsidR="00FE6E5C" w:rsidRPr="00E55679" w:rsidRDefault="00FE6E5C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:rsidR="00FE6E5C" w:rsidRDefault="00FE6E5C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:rsidR="00FE6E5C" w:rsidRDefault="00FE6E5C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proofErr w:type="spellStart"/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הר</w:t>
                    </w:r>
                    <w:proofErr w:type="spellEnd"/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:rsidR="00FE6E5C" w:rsidRPr="00E55679" w:rsidRDefault="00FE6E5C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:rsidR="00FE6E5C" w:rsidRDefault="00FE6E5C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B53192" wp14:editId="363B4EA2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E93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9776" behindDoc="0" locked="0" layoutInCell="1" allowOverlap="1" wp14:anchorId="1C447738" wp14:editId="099E5512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8752" behindDoc="0" locked="0" layoutInCell="1" allowOverlap="1" wp14:anchorId="1A325015" wp14:editId="1737067B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7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7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5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8"/>
  </w:num>
  <w:num w:numId="7">
    <w:abstractNumId w:val="1"/>
  </w:num>
  <w:num w:numId="8">
    <w:abstractNumId w:val="23"/>
  </w:num>
  <w:num w:numId="9">
    <w:abstractNumId w:val="3"/>
  </w:num>
  <w:num w:numId="10">
    <w:abstractNumId w:val="24"/>
  </w:num>
  <w:num w:numId="11">
    <w:abstractNumId w:val="30"/>
  </w:num>
  <w:num w:numId="12">
    <w:abstractNumId w:val="14"/>
  </w:num>
  <w:num w:numId="13">
    <w:abstractNumId w:val="32"/>
  </w:num>
  <w:num w:numId="14">
    <w:abstractNumId w:val="28"/>
  </w:num>
  <w:num w:numId="15">
    <w:abstractNumId w:val="10"/>
  </w:num>
  <w:num w:numId="16">
    <w:abstractNumId w:val="7"/>
  </w:num>
  <w:num w:numId="17">
    <w:abstractNumId w:val="20"/>
  </w:num>
  <w:num w:numId="18">
    <w:abstractNumId w:val="22"/>
  </w:num>
  <w:num w:numId="19">
    <w:abstractNumId w:val="17"/>
  </w:num>
  <w:num w:numId="20">
    <w:abstractNumId w:val="5"/>
  </w:num>
  <w:num w:numId="21">
    <w:abstractNumId w:val="9"/>
  </w:num>
  <w:num w:numId="22">
    <w:abstractNumId w:val="4"/>
  </w:num>
  <w:num w:numId="23">
    <w:abstractNumId w:val="29"/>
  </w:num>
  <w:num w:numId="24">
    <w:abstractNumId w:val="21"/>
  </w:num>
  <w:num w:numId="25">
    <w:abstractNumId w:val="15"/>
  </w:num>
  <w:num w:numId="26">
    <w:abstractNumId w:val="25"/>
  </w:num>
  <w:num w:numId="27">
    <w:abstractNumId w:val="8"/>
  </w:num>
  <w:num w:numId="28">
    <w:abstractNumId w:val="33"/>
  </w:num>
  <w:num w:numId="29">
    <w:abstractNumId w:val="11"/>
  </w:num>
  <w:num w:numId="30">
    <w:abstractNumId w:val="34"/>
  </w:num>
  <w:num w:numId="31">
    <w:abstractNumId w:val="31"/>
  </w:num>
  <w:num w:numId="32">
    <w:abstractNumId w:val="0"/>
  </w:num>
  <w:num w:numId="33">
    <w:abstractNumId w:val="6"/>
  </w:num>
  <w:num w:numId="34">
    <w:abstractNumId w:val="26"/>
  </w:num>
  <w:num w:numId="35">
    <w:abstractNumId w:val="1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4C"/>
    <w:rsid w:val="0000267A"/>
    <w:rsid w:val="0001496B"/>
    <w:rsid w:val="00022AF4"/>
    <w:rsid w:val="00027EB6"/>
    <w:rsid w:val="00036B4D"/>
    <w:rsid w:val="0005412E"/>
    <w:rsid w:val="000756B2"/>
    <w:rsid w:val="00075E20"/>
    <w:rsid w:val="00080161"/>
    <w:rsid w:val="0008360E"/>
    <w:rsid w:val="0008394C"/>
    <w:rsid w:val="000903A3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60D00"/>
    <w:rsid w:val="0017536C"/>
    <w:rsid w:val="00175902"/>
    <w:rsid w:val="00176A7E"/>
    <w:rsid w:val="00182988"/>
    <w:rsid w:val="00192176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108CF"/>
    <w:rsid w:val="00210E16"/>
    <w:rsid w:val="00213587"/>
    <w:rsid w:val="0021631E"/>
    <w:rsid w:val="002303E5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7085"/>
    <w:rsid w:val="00287788"/>
    <w:rsid w:val="00290EBC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44F6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732B"/>
    <w:rsid w:val="00367D14"/>
    <w:rsid w:val="0037039E"/>
    <w:rsid w:val="00375703"/>
    <w:rsid w:val="00383943"/>
    <w:rsid w:val="00391376"/>
    <w:rsid w:val="0039560E"/>
    <w:rsid w:val="00396A89"/>
    <w:rsid w:val="003A09B1"/>
    <w:rsid w:val="003A2265"/>
    <w:rsid w:val="003B339E"/>
    <w:rsid w:val="003C0419"/>
    <w:rsid w:val="003C0FB5"/>
    <w:rsid w:val="003C121A"/>
    <w:rsid w:val="003C3363"/>
    <w:rsid w:val="003D30AA"/>
    <w:rsid w:val="003E28E3"/>
    <w:rsid w:val="003E2EBE"/>
    <w:rsid w:val="003E4627"/>
    <w:rsid w:val="003F10E8"/>
    <w:rsid w:val="003F6BE1"/>
    <w:rsid w:val="0041121B"/>
    <w:rsid w:val="0041595D"/>
    <w:rsid w:val="0041684D"/>
    <w:rsid w:val="00422A8B"/>
    <w:rsid w:val="00430BFE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6145"/>
    <w:rsid w:val="004B5059"/>
    <w:rsid w:val="004B57CD"/>
    <w:rsid w:val="004C2370"/>
    <w:rsid w:val="004C2827"/>
    <w:rsid w:val="004D0937"/>
    <w:rsid w:val="004D5D6B"/>
    <w:rsid w:val="004D6488"/>
    <w:rsid w:val="004E17E3"/>
    <w:rsid w:val="004E2ECB"/>
    <w:rsid w:val="004E43BA"/>
    <w:rsid w:val="004E4A57"/>
    <w:rsid w:val="004F293A"/>
    <w:rsid w:val="004F664D"/>
    <w:rsid w:val="00514E0B"/>
    <w:rsid w:val="005166CC"/>
    <w:rsid w:val="005230EE"/>
    <w:rsid w:val="005271D3"/>
    <w:rsid w:val="00542FFA"/>
    <w:rsid w:val="00543382"/>
    <w:rsid w:val="00547EA0"/>
    <w:rsid w:val="00562678"/>
    <w:rsid w:val="00567A52"/>
    <w:rsid w:val="00567B61"/>
    <w:rsid w:val="00570A15"/>
    <w:rsid w:val="005760EF"/>
    <w:rsid w:val="005764B5"/>
    <w:rsid w:val="00581B41"/>
    <w:rsid w:val="005954E0"/>
    <w:rsid w:val="005A406B"/>
    <w:rsid w:val="005A4583"/>
    <w:rsid w:val="005A79E2"/>
    <w:rsid w:val="005D0361"/>
    <w:rsid w:val="005D45A5"/>
    <w:rsid w:val="005D6B80"/>
    <w:rsid w:val="005E0A03"/>
    <w:rsid w:val="005E3A0F"/>
    <w:rsid w:val="005F1A3C"/>
    <w:rsid w:val="005F4C8E"/>
    <w:rsid w:val="006010EA"/>
    <w:rsid w:val="00606B1C"/>
    <w:rsid w:val="0060721D"/>
    <w:rsid w:val="006138AE"/>
    <w:rsid w:val="006201EB"/>
    <w:rsid w:val="00620F7D"/>
    <w:rsid w:val="00625BF1"/>
    <w:rsid w:val="006260A6"/>
    <w:rsid w:val="006268A1"/>
    <w:rsid w:val="00626A36"/>
    <w:rsid w:val="00631452"/>
    <w:rsid w:val="00631E85"/>
    <w:rsid w:val="00632942"/>
    <w:rsid w:val="00636346"/>
    <w:rsid w:val="00637E05"/>
    <w:rsid w:val="00641B1C"/>
    <w:rsid w:val="006527FA"/>
    <w:rsid w:val="00670E3E"/>
    <w:rsid w:val="00673688"/>
    <w:rsid w:val="00675486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639EF"/>
    <w:rsid w:val="00785415"/>
    <w:rsid w:val="0079676D"/>
    <w:rsid w:val="007A6293"/>
    <w:rsid w:val="007C3E2B"/>
    <w:rsid w:val="007D15DE"/>
    <w:rsid w:val="007D2829"/>
    <w:rsid w:val="007D6E1F"/>
    <w:rsid w:val="007E647D"/>
    <w:rsid w:val="007F1774"/>
    <w:rsid w:val="007F44D8"/>
    <w:rsid w:val="008120E6"/>
    <w:rsid w:val="00820C8E"/>
    <w:rsid w:val="0082488A"/>
    <w:rsid w:val="008419DA"/>
    <w:rsid w:val="00842E88"/>
    <w:rsid w:val="00854BCF"/>
    <w:rsid w:val="00855EEB"/>
    <w:rsid w:val="00866B4C"/>
    <w:rsid w:val="00867D31"/>
    <w:rsid w:val="00882AF4"/>
    <w:rsid w:val="00882D6B"/>
    <w:rsid w:val="008902BB"/>
    <w:rsid w:val="00891003"/>
    <w:rsid w:val="008B092A"/>
    <w:rsid w:val="008B1832"/>
    <w:rsid w:val="008C4B98"/>
    <w:rsid w:val="008C6383"/>
    <w:rsid w:val="008D1190"/>
    <w:rsid w:val="008D11D1"/>
    <w:rsid w:val="008D7AB3"/>
    <w:rsid w:val="008E2D99"/>
    <w:rsid w:val="008E5195"/>
    <w:rsid w:val="008E7A03"/>
    <w:rsid w:val="008F1048"/>
    <w:rsid w:val="008F2AEC"/>
    <w:rsid w:val="008F75CB"/>
    <w:rsid w:val="00902461"/>
    <w:rsid w:val="009311AE"/>
    <w:rsid w:val="00932750"/>
    <w:rsid w:val="00940F3E"/>
    <w:rsid w:val="00944D2F"/>
    <w:rsid w:val="00952D0C"/>
    <w:rsid w:val="00954011"/>
    <w:rsid w:val="00955CD0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B2487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9F7D2E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438C6"/>
    <w:rsid w:val="00A4470B"/>
    <w:rsid w:val="00A548D5"/>
    <w:rsid w:val="00A5786D"/>
    <w:rsid w:val="00A60B1E"/>
    <w:rsid w:val="00A62A57"/>
    <w:rsid w:val="00A65DA8"/>
    <w:rsid w:val="00A72CDE"/>
    <w:rsid w:val="00A81E14"/>
    <w:rsid w:val="00A83352"/>
    <w:rsid w:val="00A86C59"/>
    <w:rsid w:val="00AA1E04"/>
    <w:rsid w:val="00AA6B05"/>
    <w:rsid w:val="00AB0DBC"/>
    <w:rsid w:val="00AB40FD"/>
    <w:rsid w:val="00AB6058"/>
    <w:rsid w:val="00AC04B5"/>
    <w:rsid w:val="00AC1F80"/>
    <w:rsid w:val="00AC299C"/>
    <w:rsid w:val="00AD2AB7"/>
    <w:rsid w:val="00AD5DF3"/>
    <w:rsid w:val="00AF2271"/>
    <w:rsid w:val="00AF62DB"/>
    <w:rsid w:val="00B04E45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E47A7"/>
    <w:rsid w:val="00BF52DE"/>
    <w:rsid w:val="00BF5665"/>
    <w:rsid w:val="00C0071D"/>
    <w:rsid w:val="00C13990"/>
    <w:rsid w:val="00C2659A"/>
    <w:rsid w:val="00C374FF"/>
    <w:rsid w:val="00C40E28"/>
    <w:rsid w:val="00C410BA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860A5"/>
    <w:rsid w:val="00C91767"/>
    <w:rsid w:val="00CA2F50"/>
    <w:rsid w:val="00CB3A5C"/>
    <w:rsid w:val="00CB7799"/>
    <w:rsid w:val="00CD3A02"/>
    <w:rsid w:val="00CE39DC"/>
    <w:rsid w:val="00CE455D"/>
    <w:rsid w:val="00CE6D42"/>
    <w:rsid w:val="00CF5D85"/>
    <w:rsid w:val="00D0580D"/>
    <w:rsid w:val="00D075E8"/>
    <w:rsid w:val="00D12257"/>
    <w:rsid w:val="00D2549A"/>
    <w:rsid w:val="00D33BC0"/>
    <w:rsid w:val="00D4157C"/>
    <w:rsid w:val="00D41744"/>
    <w:rsid w:val="00D67299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B47AA"/>
    <w:rsid w:val="00EB5A7B"/>
    <w:rsid w:val="00EC5994"/>
    <w:rsid w:val="00ED40FF"/>
    <w:rsid w:val="00ED7881"/>
    <w:rsid w:val="00EE0052"/>
    <w:rsid w:val="00EE3A9C"/>
    <w:rsid w:val="00EE5121"/>
    <w:rsid w:val="00EF061F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632B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E0CC4"/>
    <w:rsid w:val="00FE2EEE"/>
    <w:rsid w:val="00FE3158"/>
    <w:rsid w:val="00FE6E5C"/>
    <w:rsid w:val="00FE7D0E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C57D298-0F74-43D1-A581-63E41879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8DB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spacing w:line="360" w:lineRule="auto"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pPr>
      <w:jc w:val="both"/>
    </w:pPr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  <w:jc w:val="both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rsid w:val="001B7AA5"/>
    <w:pPr>
      <w:widowControl w:val="0"/>
      <w:autoSpaceDE w:val="0"/>
      <w:autoSpaceDN w:val="0"/>
      <w:adjustRightInd w:val="0"/>
      <w:snapToGrid w:val="0"/>
      <w:spacing w:line="360" w:lineRule="auto"/>
      <w:ind w:firstLine="340"/>
      <w:jc w:val="both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175902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75E3-6AF2-41C4-A32A-3CCBA00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2520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2</cp:revision>
  <cp:lastPrinted>2016-02-21T08:13:00Z</cp:lastPrinted>
  <dcterms:created xsi:type="dcterms:W3CDTF">2018-12-06T17:08:00Z</dcterms:created>
  <dcterms:modified xsi:type="dcterms:W3CDTF">2018-12-06T17:08:00Z</dcterms:modified>
</cp:coreProperties>
</file>