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82" w:rsidRDefault="00B67482" w:rsidP="00EC04D5">
      <w:pPr>
        <w:spacing w:after="240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</w:p>
    <w:p w:rsidR="00B67482" w:rsidRPr="00662210" w:rsidRDefault="00B67482" w:rsidP="00EC04D5">
      <w:pPr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662210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נייר עמדה</w:t>
      </w:r>
    </w:p>
    <w:p w:rsidR="00B67482" w:rsidRPr="00662210" w:rsidRDefault="00514A9E" w:rsidP="00EC04D5">
      <w:pPr>
        <w:spacing w:after="240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 w:rsidRPr="00662210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 xml:space="preserve">המאבק בתופעת הביוש </w:t>
      </w:r>
      <w:r w:rsidR="00EC04D5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הפומבי ('</w:t>
      </w:r>
      <w:proofErr w:type="spellStart"/>
      <w:r w:rsidR="00EC04D5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שיימינג</w:t>
      </w:r>
      <w:proofErr w:type="spellEnd"/>
      <w:r w:rsidR="00EC04D5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'</w:t>
      </w:r>
      <w:r w:rsidRPr="00662210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)</w:t>
      </w:r>
    </w:p>
    <w:p w:rsidR="00B67482" w:rsidRPr="00B35509" w:rsidRDefault="00B67482" w:rsidP="00EC04D5">
      <w:pPr>
        <w:spacing w:after="240"/>
        <w:rPr>
          <w:rStyle w:val="a8"/>
          <w:rFonts w:ascii="Arial" w:hAnsi="Arial" w:cs="Guttman Keren"/>
          <w:bCs/>
          <w:color w:val="1D5872"/>
          <w:sz w:val="24"/>
          <w:szCs w:val="24"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  <w:r w:rsidR="00514A9E">
        <w:rPr>
          <w:rStyle w:val="af0"/>
          <w:rFonts w:ascii="Arial" w:hAnsi="Arial"/>
          <w:b/>
          <w:bCs/>
          <w:color w:val="1D5872"/>
          <w:sz w:val="24"/>
          <w:szCs w:val="24"/>
          <w:rtl/>
        </w:rPr>
        <w:endnoteReference w:id="1"/>
      </w:r>
    </w:p>
    <w:p w:rsidR="00514A9E" w:rsidRPr="00514A9E" w:rsidRDefault="00662210" w:rsidP="00EC04D5">
      <w:pPr>
        <w:spacing w:after="240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אופנים מגוונים של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פגיעה ב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זולת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C04D5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כגון: </w:t>
      </w:r>
      <w:r w:rsidR="00EC04D5">
        <w:rPr>
          <w:rFonts w:cs="David"/>
          <w:snapToGrid w:val="0"/>
          <w:color w:val="000000"/>
          <w:sz w:val="24"/>
          <w:szCs w:val="24"/>
          <w:rtl/>
          <w:lang w:eastAsia="ja-JP"/>
        </w:rPr>
        <w:t>השמצה, ביוש, לשון הרע ועוד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EC04D5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קיימ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ים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היו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מאז ומעולם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;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אולם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בעוד בעבר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היק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ף הפגיעה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היה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מצומצם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וכלל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את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מעגל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המכרים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הקרוב של 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נפגע,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כיום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מדובר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</w:t>
      </w:r>
      <w:r w:rsidR="00EC04D5">
        <w:rPr>
          <w:rFonts w:cs="David"/>
          <w:snapToGrid w:val="0"/>
          <w:color w:val="000000"/>
          <w:sz w:val="24"/>
          <w:szCs w:val="24"/>
          <w:rtl/>
          <w:lang w:eastAsia="ja-JP"/>
        </w:rPr>
        <w:t>תופעה רחב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היקף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כלים טכ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נולוגיים מגוונים ו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אופיין </w:t>
      </w:r>
      <w:proofErr w:type="spellStart"/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המיידי</w:t>
      </w:r>
      <w:proofErr w:type="spellEnd"/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והזמין של ה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רשתות חברתיות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מעצימים את הפגיעה עד לממדים מפלצתיים ממש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.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ביוש פומבי מסוג זה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מכונה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כיום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"</w:t>
      </w:r>
      <w:proofErr w:type="spellStart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שיימינג</w:t>
      </w:r>
      <w:proofErr w:type="spellEnd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" (</w:t>
      </w:r>
      <w:r w:rsidR="00514A9E" w:rsidRPr="00514A9E">
        <w:rPr>
          <w:rFonts w:cs="David"/>
          <w:snapToGrid w:val="0"/>
          <w:color w:val="000000"/>
          <w:sz w:val="24"/>
          <w:szCs w:val="24"/>
          <w:lang w:eastAsia="ja-JP"/>
        </w:rPr>
        <w:t>Shaming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)</w:t>
      </w:r>
      <w:r w:rsidR="00EC04D5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,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ותפוצתו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עצומ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וכמעט חסר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גבולות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: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באבחת מקש,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אלפי גולשים יכולים לצפות באמירות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פוגעניות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, בסרטונים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מביכים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, ובתמונות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אישיות;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הסרת הדברים מה</w:t>
      </w:r>
      <w:r w:rsidR="00FD6E7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רש</w:t>
      </w:r>
      <w:r w:rsidR="00FD6E7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ת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אינה פשוטה, אורכת זמן רב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ולא תמיד מצליח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. הקוש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י גדול יותר כ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שמדובר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בפוגע 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אנונימי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או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מתחזה.</w:t>
      </w:r>
    </w:p>
    <w:p w:rsidR="00B67482" w:rsidRDefault="00EC04D5" w:rsidP="00F24699">
      <w:pPr>
        <w:spacing w:after="240"/>
        <w:rPr>
          <w:rFonts w:cs="David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תופעה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זו קיימת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כיום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בכל המרחבים החברתיים ובכל הגילים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:</w:t>
      </w:r>
      <w:r w:rsidR="0095715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מבוגרים ו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בני נוער משתמשים באמצעים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טכנולוגיים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כדי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להעליב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את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חבריהם </w:t>
      </w:r>
      <w:r w:rsidR="0095715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לעבודה או ל</w:t>
      </w:r>
      <w:r>
        <w:rPr>
          <w:rFonts w:cs="David"/>
          <w:snapToGrid w:val="0"/>
          <w:color w:val="000000"/>
          <w:sz w:val="24"/>
          <w:szCs w:val="24"/>
          <w:rtl/>
          <w:lang w:eastAsia="ja-JP"/>
        </w:rPr>
        <w:t>כיתה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ולפגוע בהם,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להפיץ סרטונים ותמונות שיגרמו להשפלה ומבוכה, ליזום חרם ועוד.</w:t>
      </w:r>
      <w:r w:rsidR="00957151">
        <w:rPr>
          <w:rStyle w:val="af0"/>
          <w:snapToGrid w:val="0"/>
          <w:color w:val="000000"/>
          <w:sz w:val="24"/>
          <w:szCs w:val="24"/>
          <w:rtl/>
          <w:lang w:eastAsia="ja-JP"/>
        </w:rPr>
        <w:endnoteReference w:id="2"/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מילים,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תמונות ו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סרטונים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מו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>פצים ברחבי הרשת וחקוקים בה לנצח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עלולים ל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יצור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נזקים גדולים מאוד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: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>כלכלי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ים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 w:rsidR="00F24699">
        <w:rPr>
          <w:rFonts w:cs="David"/>
          <w:snapToGrid w:val="0"/>
          <w:color w:val="000000"/>
          <w:sz w:val="24"/>
          <w:szCs w:val="24"/>
          <w:rtl/>
          <w:lang w:eastAsia="ja-JP"/>
        </w:rPr>
        <w:t>עד כדי איבוד מקום עבודה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או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סגירת עסק, ועוד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נפשי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ים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(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השפלה, ניכור, תסכול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חוסר אונים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). די אם נציין כי אירעו גם </w:t>
      </w:r>
      <w:proofErr w:type="spellStart"/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לא</w:t>
      </w:r>
      <w:r w:rsidR="00F24699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מעט</w:t>
      </w:r>
      <w:proofErr w:type="spellEnd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 מקרי התאבדות בעקבות "</w:t>
      </w:r>
      <w:proofErr w:type="spellStart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שיימינג</w:t>
      </w:r>
      <w:proofErr w:type="spellEnd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". </w:t>
      </w:r>
      <w:r w:rsidR="00F24699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אכן, 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"מו</w:t>
      </w:r>
      <w:r w:rsidR="00FD6E7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ֶ</w:t>
      </w:r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ת וחיים ביד לשון" (משלי </w:t>
      </w:r>
      <w:proofErr w:type="spellStart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יח</w:t>
      </w:r>
      <w:proofErr w:type="spellEnd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, </w:t>
      </w:r>
      <w:proofErr w:type="spellStart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כא</w:t>
      </w:r>
      <w:proofErr w:type="spellEnd"/>
      <w:r w:rsidR="00514A9E" w:rsidRPr="00514A9E">
        <w:rPr>
          <w:rFonts w:cs="David"/>
          <w:snapToGrid w:val="0"/>
          <w:color w:val="000000"/>
          <w:sz w:val="24"/>
          <w:szCs w:val="24"/>
          <w:rtl/>
          <w:lang w:eastAsia="ja-JP"/>
        </w:rPr>
        <w:t>) ובלשון העם: "מילים יכולות להרוג".</w:t>
      </w:r>
    </w:p>
    <w:p w:rsidR="00B67482" w:rsidRPr="00B35509" w:rsidRDefault="00A81E14" w:rsidP="00EC04D5">
      <w:pPr>
        <w:spacing w:after="240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B67482" w:rsidRPr="00514A9E" w:rsidRDefault="00EC04D5" w:rsidP="00FD6E73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514A9E">
        <w:rPr>
          <w:rFonts w:cs="David" w:hint="cs"/>
          <w:b/>
          <w:bCs/>
          <w:sz w:val="24"/>
          <w:szCs w:val="24"/>
          <w:rtl/>
        </w:rPr>
        <w:t>איסור הלבנת פנים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 w:rsidR="00324F96">
        <w:rPr>
          <w:rFonts w:cs="David" w:hint="cs"/>
          <w:b/>
          <w:bCs/>
          <w:sz w:val="24"/>
          <w:szCs w:val="24"/>
          <w:rtl/>
        </w:rPr>
        <w:t>ברבים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324F96">
        <w:rPr>
          <w:rFonts w:cs="David" w:hint="cs"/>
          <w:sz w:val="24"/>
          <w:szCs w:val="24"/>
          <w:rtl/>
        </w:rPr>
        <w:t xml:space="preserve">ביושו של אדם ברבים נקרא בהלכה 'הלבנת פנים ברבים', והוא </w:t>
      </w:r>
      <w:r w:rsidR="00FD6E73">
        <w:rPr>
          <w:rFonts w:cs="David" w:hint="cs"/>
          <w:sz w:val="24"/>
          <w:szCs w:val="24"/>
          <w:rtl/>
        </w:rPr>
        <w:t xml:space="preserve">נאסר באופן </w:t>
      </w:r>
      <w:r w:rsidR="00324F96">
        <w:rPr>
          <w:rFonts w:cs="David" w:hint="cs"/>
          <w:sz w:val="24"/>
          <w:szCs w:val="24"/>
          <w:rtl/>
        </w:rPr>
        <w:t>חמור ביותר, עד</w:t>
      </w:r>
      <w:r w:rsidR="00FD6E73">
        <w:rPr>
          <w:rFonts w:cs="David" w:hint="cs"/>
          <w:sz w:val="24"/>
          <w:szCs w:val="24"/>
          <w:rtl/>
        </w:rPr>
        <w:t xml:space="preserve"> שנאמר על המלבין פני חברו ברבים</w:t>
      </w:r>
      <w:r w:rsidR="00324F96">
        <w:rPr>
          <w:rFonts w:cs="David" w:hint="cs"/>
          <w:sz w:val="24"/>
          <w:szCs w:val="24"/>
          <w:rtl/>
        </w:rPr>
        <w:t xml:space="preserve"> ש"</w:t>
      </w:r>
      <w:r w:rsidR="00324F96" w:rsidRPr="00324F96">
        <w:rPr>
          <w:rFonts w:cs="David"/>
          <w:sz w:val="24"/>
          <w:szCs w:val="24"/>
          <w:rtl/>
        </w:rPr>
        <w:t>אף על פי שיש בידו תורה ומעשים טובים</w:t>
      </w:r>
      <w:r w:rsidR="00FD6E73">
        <w:rPr>
          <w:rFonts w:cs="David" w:hint="cs"/>
          <w:sz w:val="24"/>
          <w:szCs w:val="24"/>
          <w:rtl/>
        </w:rPr>
        <w:t>,</w:t>
      </w:r>
      <w:r w:rsidR="00324F96" w:rsidRPr="00324F96">
        <w:rPr>
          <w:rFonts w:cs="David"/>
          <w:sz w:val="24"/>
          <w:szCs w:val="24"/>
          <w:rtl/>
        </w:rPr>
        <w:t xml:space="preserve"> אין לו חלק לעולם הבא</w:t>
      </w:r>
      <w:r w:rsidR="00FD6E73">
        <w:rPr>
          <w:rFonts w:cs="David" w:hint="cs"/>
          <w:sz w:val="24"/>
          <w:szCs w:val="24"/>
          <w:rtl/>
        </w:rPr>
        <w:t xml:space="preserve">" (אבות </w:t>
      </w:r>
      <w:proofErr w:type="spellStart"/>
      <w:r w:rsidR="00FD6E73">
        <w:rPr>
          <w:rFonts w:cs="David" w:hint="cs"/>
          <w:sz w:val="24"/>
          <w:szCs w:val="24"/>
          <w:rtl/>
        </w:rPr>
        <w:t>ג,יא</w:t>
      </w:r>
      <w:proofErr w:type="spellEnd"/>
      <w:r w:rsidR="00FD6E73">
        <w:rPr>
          <w:rFonts w:cs="David" w:hint="cs"/>
          <w:sz w:val="24"/>
          <w:szCs w:val="24"/>
          <w:rtl/>
        </w:rPr>
        <w:t xml:space="preserve">). </w:t>
      </w:r>
      <w:r w:rsidR="00324F96">
        <w:rPr>
          <w:rFonts w:cs="David" w:hint="cs"/>
          <w:sz w:val="24"/>
          <w:szCs w:val="24"/>
          <w:rtl/>
        </w:rPr>
        <w:t>בתלמוד הבבלי אף</w:t>
      </w:r>
      <w:r w:rsidR="00F24699">
        <w:rPr>
          <w:rFonts w:cs="David" w:hint="cs"/>
          <w:sz w:val="24"/>
          <w:szCs w:val="24"/>
          <w:rtl/>
        </w:rPr>
        <w:t xml:space="preserve"> ה</w:t>
      </w:r>
      <w:r w:rsidR="00FD6E73">
        <w:rPr>
          <w:rFonts w:cs="David" w:hint="cs"/>
          <w:sz w:val="24"/>
          <w:szCs w:val="24"/>
          <w:rtl/>
        </w:rPr>
        <w:t>ו</w:t>
      </w:r>
      <w:r w:rsidR="00F24699">
        <w:rPr>
          <w:rFonts w:cs="David" w:hint="cs"/>
          <w:sz w:val="24"/>
          <w:szCs w:val="24"/>
          <w:rtl/>
        </w:rPr>
        <w:t>שוו</w:t>
      </w:r>
      <w:r w:rsidR="00FD6E73">
        <w:rPr>
          <w:rFonts w:cs="David" w:hint="cs"/>
          <w:sz w:val="24"/>
          <w:szCs w:val="24"/>
          <w:rtl/>
        </w:rPr>
        <w:t>תה</w:t>
      </w:r>
      <w:r w:rsidR="00F24699">
        <w:rPr>
          <w:rFonts w:cs="David" w:hint="cs"/>
          <w:sz w:val="24"/>
          <w:szCs w:val="24"/>
          <w:rtl/>
        </w:rPr>
        <w:t xml:space="preserve"> הלבנת פנים לרצח ממש (בבא </w:t>
      </w:r>
      <w:r w:rsidR="00324F96">
        <w:rPr>
          <w:rFonts w:cs="David" w:hint="cs"/>
          <w:sz w:val="24"/>
          <w:szCs w:val="24"/>
          <w:rtl/>
        </w:rPr>
        <w:t>מ</w:t>
      </w:r>
      <w:r w:rsidR="00F24699">
        <w:rPr>
          <w:rFonts w:cs="David" w:hint="cs"/>
          <w:sz w:val="24"/>
          <w:szCs w:val="24"/>
          <w:rtl/>
        </w:rPr>
        <w:t>ציעא</w:t>
      </w:r>
      <w:r w:rsidR="00324F96">
        <w:rPr>
          <w:rFonts w:cs="David" w:hint="cs"/>
          <w:sz w:val="24"/>
          <w:szCs w:val="24"/>
          <w:rtl/>
        </w:rPr>
        <w:t xml:space="preserve"> נח ע"ב), ו</w:t>
      </w:r>
      <w:r w:rsidR="00FD6E73">
        <w:rPr>
          <w:rFonts w:cs="David" w:hint="cs"/>
          <w:sz w:val="24"/>
          <w:szCs w:val="24"/>
          <w:rtl/>
        </w:rPr>
        <w:t>כך אמרו גם חכמים</w:t>
      </w:r>
      <w:r w:rsidR="00324F96">
        <w:rPr>
          <w:rFonts w:cs="David" w:hint="cs"/>
          <w:sz w:val="24"/>
          <w:szCs w:val="24"/>
          <w:rtl/>
        </w:rPr>
        <w:t>: "</w:t>
      </w:r>
      <w:r w:rsidR="00324F96" w:rsidRPr="00324F96">
        <w:rPr>
          <w:rFonts w:cs="David"/>
          <w:sz w:val="24"/>
          <w:szCs w:val="24"/>
          <w:rtl/>
        </w:rPr>
        <w:t>נח לו לאדם שיפיל עצמו לכבשן האש ואל ילבין פני חברו ברבים</w:t>
      </w:r>
      <w:r w:rsidR="00324F96">
        <w:rPr>
          <w:rFonts w:cs="David" w:hint="cs"/>
          <w:sz w:val="24"/>
          <w:szCs w:val="24"/>
          <w:rtl/>
        </w:rPr>
        <w:t>" (ברכות מג ע"ב).</w:t>
      </w:r>
      <w:r w:rsidR="00324F96">
        <w:rPr>
          <w:rStyle w:val="af0"/>
          <w:sz w:val="24"/>
          <w:szCs w:val="24"/>
          <w:rtl/>
        </w:rPr>
        <w:endnoteReference w:id="3"/>
      </w:r>
      <w:r w:rsidR="00324F96">
        <w:rPr>
          <w:rFonts w:cs="David" w:hint="cs"/>
          <w:sz w:val="24"/>
          <w:szCs w:val="24"/>
          <w:rtl/>
        </w:rPr>
        <w:t xml:space="preserve"> הסיבה לחומרתו של האיסור </w:t>
      </w:r>
      <w:r w:rsidR="00F24699">
        <w:rPr>
          <w:rFonts w:cs="David" w:hint="cs"/>
          <w:sz w:val="24"/>
          <w:szCs w:val="24"/>
          <w:rtl/>
        </w:rPr>
        <w:t>תוארה</w:t>
      </w:r>
      <w:r w:rsidR="00324F96">
        <w:rPr>
          <w:rFonts w:cs="David" w:hint="cs"/>
          <w:sz w:val="24"/>
          <w:szCs w:val="24"/>
          <w:rtl/>
        </w:rPr>
        <w:t xml:space="preserve"> בספר החינוך</w:t>
      </w:r>
      <w:r w:rsidR="00F24699">
        <w:rPr>
          <w:rFonts w:cs="David" w:hint="cs"/>
          <w:sz w:val="24"/>
          <w:szCs w:val="24"/>
          <w:rtl/>
        </w:rPr>
        <w:t xml:space="preserve"> (מצווה </w:t>
      </w:r>
      <w:proofErr w:type="spellStart"/>
      <w:r w:rsidR="00F24699">
        <w:rPr>
          <w:rFonts w:cs="David" w:hint="cs"/>
          <w:sz w:val="24"/>
          <w:szCs w:val="24"/>
          <w:rtl/>
        </w:rPr>
        <w:t>רמ</w:t>
      </w:r>
      <w:proofErr w:type="spellEnd"/>
      <w:r w:rsidR="00F24699">
        <w:rPr>
          <w:rFonts w:cs="David" w:hint="cs"/>
          <w:sz w:val="24"/>
          <w:szCs w:val="24"/>
          <w:rtl/>
        </w:rPr>
        <w:t>)</w:t>
      </w:r>
      <w:r w:rsidR="00324F96">
        <w:rPr>
          <w:rFonts w:cs="David" w:hint="cs"/>
          <w:sz w:val="24"/>
          <w:szCs w:val="24"/>
          <w:rtl/>
        </w:rPr>
        <w:t>: "</w:t>
      </w:r>
      <w:r w:rsidR="00324F96" w:rsidRPr="00324F96">
        <w:rPr>
          <w:rFonts w:cs="David"/>
          <w:sz w:val="24"/>
          <w:szCs w:val="24"/>
          <w:rtl/>
        </w:rPr>
        <w:t>לפי שהבושת צער גדול לבריות, אין גדול ממנו</w:t>
      </w:r>
      <w:r w:rsidR="00324F96">
        <w:rPr>
          <w:rFonts w:cs="David" w:hint="cs"/>
          <w:sz w:val="24"/>
          <w:szCs w:val="24"/>
          <w:rtl/>
        </w:rPr>
        <w:t xml:space="preserve">" </w:t>
      </w:r>
      <w:r w:rsidR="00871539">
        <w:rPr>
          <w:rFonts w:cs="David" w:hint="cs"/>
          <w:sz w:val="24"/>
          <w:szCs w:val="24"/>
          <w:rtl/>
        </w:rPr>
        <w:t xml:space="preserve">וביתר ביאור </w:t>
      </w:r>
      <w:r w:rsidR="00F24699">
        <w:rPr>
          <w:rFonts w:cs="David" w:hint="cs"/>
          <w:sz w:val="24"/>
          <w:szCs w:val="24"/>
          <w:rtl/>
        </w:rPr>
        <w:t xml:space="preserve">בלשון </w:t>
      </w:r>
      <w:proofErr w:type="spellStart"/>
      <w:r w:rsidR="00871539">
        <w:rPr>
          <w:rFonts w:cs="David" w:hint="cs"/>
          <w:sz w:val="24"/>
          <w:szCs w:val="24"/>
          <w:rtl/>
        </w:rPr>
        <w:t>הראי"ה</w:t>
      </w:r>
      <w:proofErr w:type="spellEnd"/>
      <w:r w:rsidR="00871539">
        <w:rPr>
          <w:rFonts w:cs="David" w:hint="cs"/>
          <w:sz w:val="24"/>
          <w:szCs w:val="24"/>
          <w:rtl/>
        </w:rPr>
        <w:t xml:space="preserve"> קוק: "</w:t>
      </w:r>
      <w:r w:rsidR="00871539" w:rsidRPr="00871539">
        <w:rPr>
          <w:rFonts w:cs="David"/>
          <w:sz w:val="24"/>
          <w:szCs w:val="24"/>
          <w:rtl/>
        </w:rPr>
        <w:t xml:space="preserve">ובנפול כבוד </w:t>
      </w:r>
      <w:proofErr w:type="spellStart"/>
      <w:r w:rsidR="00871539" w:rsidRPr="00871539">
        <w:rPr>
          <w:rFonts w:cs="David"/>
          <w:sz w:val="24"/>
          <w:szCs w:val="24"/>
          <w:rtl/>
        </w:rPr>
        <w:t>חבירו</w:t>
      </w:r>
      <w:proofErr w:type="spellEnd"/>
      <w:r w:rsidR="00871539" w:rsidRPr="00871539">
        <w:rPr>
          <w:rFonts w:cs="David"/>
          <w:sz w:val="24"/>
          <w:szCs w:val="24"/>
          <w:rtl/>
        </w:rPr>
        <w:t xml:space="preserve"> ברבים, כבר הוא אבוד מדרגתו וערך חייו</w:t>
      </w:r>
      <w:r w:rsidR="00871539">
        <w:rPr>
          <w:rFonts w:cs="David" w:hint="cs"/>
          <w:sz w:val="24"/>
          <w:szCs w:val="24"/>
          <w:rtl/>
        </w:rPr>
        <w:t>" (עין אי"ה, ברכות, עמ' 191)</w:t>
      </w:r>
      <w:r w:rsidR="00324F96">
        <w:rPr>
          <w:rFonts w:cs="David" w:hint="cs"/>
          <w:sz w:val="24"/>
          <w:szCs w:val="24"/>
          <w:rtl/>
        </w:rPr>
        <w:t>.</w:t>
      </w:r>
    </w:p>
    <w:p w:rsidR="00B67482" w:rsidRPr="00EC04D5" w:rsidRDefault="00EC04D5" w:rsidP="00F24699">
      <w:pPr>
        <w:spacing w:after="240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324F96">
        <w:rPr>
          <w:rFonts w:cs="David" w:hint="cs"/>
          <w:b/>
          <w:bCs/>
          <w:sz w:val="24"/>
          <w:szCs w:val="24"/>
          <w:rtl/>
        </w:rPr>
        <w:t>ביוש אנונימי</w:t>
      </w:r>
      <w:r w:rsidR="00B67482" w:rsidRPr="00631452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324F96" w:rsidRPr="00EC04D5">
        <w:rPr>
          <w:rFonts w:cs="David" w:hint="cs"/>
          <w:sz w:val="24"/>
          <w:szCs w:val="24"/>
          <w:rtl/>
        </w:rPr>
        <w:t>ח</w:t>
      </w:r>
      <w:r>
        <w:rPr>
          <w:rFonts w:cs="David" w:hint="cs"/>
          <w:sz w:val="24"/>
          <w:szCs w:val="24"/>
          <w:rtl/>
        </w:rPr>
        <w:t>ומרה ית</w:t>
      </w:r>
      <w:r w:rsidR="00324F96" w:rsidRPr="00EC04D5">
        <w:rPr>
          <w:rFonts w:cs="David" w:hint="cs"/>
          <w:sz w:val="24"/>
          <w:szCs w:val="24"/>
          <w:rtl/>
        </w:rPr>
        <w:t xml:space="preserve">רה </w:t>
      </w:r>
      <w:r w:rsidR="00F24699">
        <w:rPr>
          <w:rFonts w:cs="David" w:hint="cs"/>
          <w:sz w:val="24"/>
          <w:szCs w:val="24"/>
          <w:rtl/>
        </w:rPr>
        <w:t>שמו</w:t>
      </w:r>
      <w:r w:rsidR="00FD6E73">
        <w:rPr>
          <w:rFonts w:cs="David" w:hint="cs"/>
          <w:sz w:val="24"/>
          <w:szCs w:val="24"/>
          <w:rtl/>
        </w:rPr>
        <w:t>ּ</w:t>
      </w:r>
      <w:r w:rsidR="00F24699">
        <w:rPr>
          <w:rFonts w:cs="David" w:hint="cs"/>
          <w:sz w:val="24"/>
          <w:szCs w:val="24"/>
          <w:rtl/>
        </w:rPr>
        <w:t>רה לביוש</w:t>
      </w:r>
      <w:r w:rsidR="00324F96" w:rsidRPr="00EC04D5">
        <w:rPr>
          <w:rFonts w:cs="David" w:hint="cs"/>
          <w:sz w:val="24"/>
          <w:szCs w:val="24"/>
          <w:rtl/>
        </w:rPr>
        <w:t xml:space="preserve"> </w:t>
      </w:r>
      <w:r w:rsidR="00F24699">
        <w:rPr>
          <w:rFonts w:cs="David" w:hint="cs"/>
          <w:sz w:val="24"/>
          <w:szCs w:val="24"/>
          <w:rtl/>
        </w:rPr>
        <w:t>ה</w:t>
      </w:r>
      <w:r w:rsidR="00324F96" w:rsidRPr="00EC04D5">
        <w:rPr>
          <w:rFonts w:cs="David" w:hint="cs"/>
          <w:sz w:val="24"/>
          <w:szCs w:val="24"/>
          <w:rtl/>
        </w:rPr>
        <w:t>נעשה על ידי מבייש המסתתר מאחורי מעטה של אנונימיות. באופן זה</w:t>
      </w:r>
      <w:r w:rsidR="00F24699">
        <w:rPr>
          <w:rFonts w:cs="David" w:hint="cs"/>
          <w:sz w:val="24"/>
          <w:szCs w:val="24"/>
          <w:rtl/>
        </w:rPr>
        <w:t>,</w:t>
      </w:r>
      <w:r w:rsidR="00324F96" w:rsidRPr="00EC04D5">
        <w:rPr>
          <w:rFonts w:cs="David" w:hint="cs"/>
          <w:sz w:val="24"/>
          <w:szCs w:val="24"/>
          <w:rtl/>
        </w:rPr>
        <w:t xml:space="preserve"> המבייש נותר חסוי, </w:t>
      </w:r>
      <w:r w:rsidR="00F24699">
        <w:rPr>
          <w:rFonts w:cs="David" w:hint="cs"/>
          <w:sz w:val="24"/>
          <w:szCs w:val="24"/>
          <w:rtl/>
        </w:rPr>
        <w:t xml:space="preserve">ואילו </w:t>
      </w:r>
      <w:r w:rsidR="00324F96" w:rsidRPr="00EC04D5">
        <w:rPr>
          <w:rFonts w:cs="David" w:hint="cs"/>
          <w:sz w:val="24"/>
          <w:szCs w:val="24"/>
          <w:rtl/>
        </w:rPr>
        <w:t>המתבייש סופג את הב</w:t>
      </w:r>
      <w:r w:rsidR="00F24699">
        <w:rPr>
          <w:rFonts w:cs="David" w:hint="cs"/>
          <w:sz w:val="24"/>
          <w:szCs w:val="24"/>
          <w:rtl/>
        </w:rPr>
        <w:t>יזיונות</w:t>
      </w:r>
      <w:r w:rsidR="00324F96" w:rsidRPr="00EC04D5">
        <w:rPr>
          <w:rFonts w:cs="David" w:hint="cs"/>
          <w:sz w:val="24"/>
          <w:szCs w:val="24"/>
          <w:rtl/>
        </w:rPr>
        <w:t xml:space="preserve"> </w:t>
      </w:r>
      <w:r w:rsidR="00F24699">
        <w:rPr>
          <w:rFonts w:cs="David" w:hint="cs"/>
          <w:sz w:val="24"/>
          <w:szCs w:val="24"/>
          <w:rtl/>
        </w:rPr>
        <w:t>מבלי שיש בידו ה</w:t>
      </w:r>
      <w:r w:rsidR="00324F96" w:rsidRPr="00EC04D5">
        <w:rPr>
          <w:rFonts w:cs="David" w:hint="cs"/>
          <w:sz w:val="24"/>
          <w:szCs w:val="24"/>
          <w:rtl/>
        </w:rPr>
        <w:t xml:space="preserve">יכולת להגן על עצמו ועל שמו הטוב. על מביישים מעין אלו כתבה התורה: "ארור מכה רעהו בסתר" (דברים </w:t>
      </w:r>
      <w:proofErr w:type="spellStart"/>
      <w:r w:rsidR="00324F96" w:rsidRPr="00EC04D5">
        <w:rPr>
          <w:rFonts w:cs="David" w:hint="cs"/>
          <w:sz w:val="24"/>
          <w:szCs w:val="24"/>
          <w:rtl/>
        </w:rPr>
        <w:t>כז</w:t>
      </w:r>
      <w:proofErr w:type="spellEnd"/>
      <w:r w:rsidR="00324F96" w:rsidRPr="00EC04D5">
        <w:rPr>
          <w:rFonts w:cs="David" w:hint="cs"/>
          <w:sz w:val="24"/>
          <w:szCs w:val="24"/>
          <w:rtl/>
        </w:rPr>
        <w:t>,</w:t>
      </w:r>
      <w:r w:rsidR="00F24699">
        <w:rPr>
          <w:rFonts w:cs="David" w:hint="cs"/>
          <w:sz w:val="24"/>
          <w:szCs w:val="24"/>
          <w:rtl/>
        </w:rPr>
        <w:t xml:space="preserve"> </w:t>
      </w:r>
      <w:proofErr w:type="spellStart"/>
      <w:r w:rsidR="00324F96" w:rsidRPr="00EC04D5">
        <w:rPr>
          <w:rFonts w:cs="David" w:hint="cs"/>
          <w:sz w:val="24"/>
          <w:szCs w:val="24"/>
          <w:rtl/>
        </w:rPr>
        <w:t>כז</w:t>
      </w:r>
      <w:proofErr w:type="spellEnd"/>
      <w:r w:rsidR="00324F96" w:rsidRPr="00EC04D5">
        <w:rPr>
          <w:rFonts w:cs="David" w:hint="cs"/>
          <w:sz w:val="24"/>
          <w:szCs w:val="24"/>
          <w:rtl/>
        </w:rPr>
        <w:t>)</w:t>
      </w:r>
      <w:r w:rsidR="00F24699">
        <w:rPr>
          <w:rFonts w:cs="David" w:hint="cs"/>
          <w:sz w:val="24"/>
          <w:szCs w:val="24"/>
          <w:rtl/>
        </w:rPr>
        <w:t>.</w:t>
      </w:r>
      <w:r w:rsidR="00871539">
        <w:rPr>
          <w:rStyle w:val="af0"/>
          <w:sz w:val="24"/>
          <w:szCs w:val="24"/>
          <w:rtl/>
        </w:rPr>
        <w:endnoteReference w:id="4"/>
      </w:r>
    </w:p>
    <w:p w:rsidR="00871539" w:rsidRDefault="00EC04D5" w:rsidP="00FD6E73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3. </w:t>
      </w:r>
      <w:r w:rsidR="00871539" w:rsidRPr="00EC04D5">
        <w:rPr>
          <w:rFonts w:cs="David" w:hint="cs"/>
          <w:b/>
          <w:bCs/>
          <w:sz w:val="24"/>
          <w:szCs w:val="24"/>
          <w:rtl/>
        </w:rPr>
        <w:t>העונש על ביוש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871539">
        <w:rPr>
          <w:rFonts w:cs="David" w:hint="cs"/>
          <w:sz w:val="24"/>
          <w:szCs w:val="24"/>
          <w:rtl/>
        </w:rPr>
        <w:t xml:space="preserve">מסורת </w:t>
      </w:r>
      <w:r w:rsidR="00A52507">
        <w:rPr>
          <w:rFonts w:cs="David" w:hint="cs"/>
          <w:sz w:val="24"/>
          <w:szCs w:val="24"/>
          <w:rtl/>
        </w:rPr>
        <w:t xml:space="preserve">יש בידינו </w:t>
      </w:r>
      <w:r w:rsidR="00871539">
        <w:rPr>
          <w:rFonts w:cs="David" w:hint="cs"/>
          <w:sz w:val="24"/>
          <w:szCs w:val="24"/>
          <w:rtl/>
        </w:rPr>
        <w:t>מן הגאונים, כי אף שהמבייש את חברו בדיבור אינו נדרש לשלם לו ממון על עצם הבושה, מכל מקום "</w:t>
      </w:r>
      <w:r w:rsidR="00871539" w:rsidRPr="00871539">
        <w:rPr>
          <w:rFonts w:cs="David"/>
          <w:sz w:val="24"/>
          <w:szCs w:val="24"/>
          <w:rtl/>
        </w:rPr>
        <w:t>מנדים אותו עד שיפייסנו כראוי לפי כבודו</w:t>
      </w:r>
      <w:r w:rsidR="009068DC">
        <w:rPr>
          <w:rFonts w:cs="David" w:hint="cs"/>
          <w:sz w:val="24"/>
          <w:szCs w:val="24"/>
          <w:rtl/>
        </w:rPr>
        <w:t>".</w:t>
      </w:r>
      <w:r w:rsidR="00FD6E73">
        <w:rPr>
          <w:rStyle w:val="af0"/>
          <w:sz w:val="24"/>
          <w:szCs w:val="24"/>
          <w:rtl/>
        </w:rPr>
        <w:endnoteReference w:id="5"/>
      </w:r>
      <w:r w:rsidR="009068DC">
        <w:rPr>
          <w:rFonts w:cs="David" w:hint="cs"/>
          <w:sz w:val="24"/>
          <w:szCs w:val="24"/>
          <w:rtl/>
        </w:rPr>
        <w:t xml:space="preserve"> </w:t>
      </w:r>
      <w:r w:rsidR="00871539">
        <w:rPr>
          <w:rFonts w:cs="David" w:hint="cs"/>
          <w:sz w:val="24"/>
          <w:szCs w:val="24"/>
          <w:rtl/>
        </w:rPr>
        <w:t xml:space="preserve">עונש זה חמור למעשה מעונש הבושת הניתן </w:t>
      </w:r>
      <w:r w:rsidR="00871539">
        <w:rPr>
          <w:rFonts w:cs="David" w:hint="cs"/>
          <w:sz w:val="24"/>
          <w:szCs w:val="24"/>
          <w:rtl/>
        </w:rPr>
        <w:lastRenderedPageBreak/>
        <w:t>למי שחבלו בו בפועל, "</w:t>
      </w:r>
      <w:proofErr w:type="spellStart"/>
      <w:r w:rsidR="00871539" w:rsidRPr="00871539">
        <w:rPr>
          <w:rFonts w:cs="David"/>
          <w:sz w:val="24"/>
          <w:szCs w:val="24"/>
          <w:rtl/>
        </w:rPr>
        <w:t>דאין</w:t>
      </w:r>
      <w:proofErr w:type="spellEnd"/>
      <w:r w:rsidR="00871539" w:rsidRPr="00871539">
        <w:rPr>
          <w:rFonts w:cs="David"/>
          <w:sz w:val="24"/>
          <w:szCs w:val="24"/>
          <w:rtl/>
        </w:rPr>
        <w:t xml:space="preserve"> דבר גדול כלשון הרע </w:t>
      </w:r>
      <w:proofErr w:type="spellStart"/>
      <w:r w:rsidR="00871539" w:rsidRPr="00871539">
        <w:rPr>
          <w:rFonts w:cs="David"/>
          <w:sz w:val="24"/>
          <w:szCs w:val="24"/>
          <w:rtl/>
        </w:rPr>
        <w:t>ודבה</w:t>
      </w:r>
      <w:proofErr w:type="spellEnd"/>
      <w:r w:rsidR="00871539" w:rsidRPr="00871539">
        <w:rPr>
          <w:rFonts w:cs="David"/>
          <w:sz w:val="24"/>
          <w:szCs w:val="24"/>
          <w:rtl/>
        </w:rPr>
        <w:t xml:space="preserve"> שאדם מוציא על </w:t>
      </w:r>
      <w:proofErr w:type="spellStart"/>
      <w:r w:rsidR="00871539" w:rsidRPr="00871539">
        <w:rPr>
          <w:rFonts w:cs="David"/>
          <w:sz w:val="24"/>
          <w:szCs w:val="24"/>
          <w:rtl/>
        </w:rPr>
        <w:t>חבירו</w:t>
      </w:r>
      <w:proofErr w:type="spellEnd"/>
      <w:r w:rsidR="00871539">
        <w:rPr>
          <w:rFonts w:cs="David" w:hint="cs"/>
          <w:sz w:val="24"/>
          <w:szCs w:val="24"/>
          <w:rtl/>
        </w:rPr>
        <w:t>".</w:t>
      </w:r>
      <w:r w:rsidR="00FD6E73">
        <w:rPr>
          <w:rStyle w:val="af0"/>
          <w:sz w:val="24"/>
          <w:szCs w:val="24"/>
          <w:rtl/>
        </w:rPr>
        <w:endnoteReference w:id="6"/>
      </w:r>
      <w:r w:rsidR="00871539">
        <w:rPr>
          <w:rFonts w:cs="David" w:hint="cs"/>
          <w:sz w:val="24"/>
          <w:szCs w:val="24"/>
          <w:rtl/>
        </w:rPr>
        <w:t xml:space="preserve"> הרמב"ם הוסיף כי ני</w:t>
      </w:r>
      <w:r w:rsidR="009068DC">
        <w:rPr>
          <w:rFonts w:cs="David" w:hint="cs"/>
          <w:sz w:val="24"/>
          <w:szCs w:val="24"/>
          <w:rtl/>
        </w:rPr>
        <w:t>תן להטיל עונשים אחרים על המבייש</w:t>
      </w:r>
      <w:r w:rsidR="00871539">
        <w:rPr>
          <w:rFonts w:cs="David" w:hint="cs"/>
          <w:sz w:val="24"/>
          <w:szCs w:val="24"/>
          <w:rtl/>
        </w:rPr>
        <w:t xml:space="preserve"> </w:t>
      </w:r>
      <w:r w:rsidR="009068DC">
        <w:rPr>
          <w:rFonts w:cs="David" w:hint="cs"/>
          <w:sz w:val="24"/>
          <w:szCs w:val="24"/>
          <w:rtl/>
        </w:rPr>
        <w:t xml:space="preserve">וכי </w:t>
      </w:r>
      <w:r w:rsidR="00871539">
        <w:rPr>
          <w:rFonts w:cs="David" w:hint="cs"/>
          <w:sz w:val="24"/>
          <w:szCs w:val="24"/>
          <w:rtl/>
        </w:rPr>
        <w:t>"</w:t>
      </w:r>
      <w:r w:rsidR="00871539" w:rsidRPr="00871539">
        <w:rPr>
          <w:rFonts w:cs="David"/>
          <w:sz w:val="24"/>
          <w:szCs w:val="24"/>
          <w:rtl/>
        </w:rPr>
        <w:t>יש לבית דין לגדור ב</w:t>
      </w:r>
      <w:r w:rsidR="009068DC">
        <w:rPr>
          <w:rFonts w:cs="David"/>
          <w:sz w:val="24"/>
          <w:szCs w:val="24"/>
          <w:rtl/>
        </w:rPr>
        <w:t>דבר בכל מקום ובכל זמן כמו שיראו</w:t>
      </w:r>
      <w:r w:rsidR="00871539">
        <w:rPr>
          <w:rFonts w:cs="David" w:hint="cs"/>
          <w:sz w:val="24"/>
          <w:szCs w:val="24"/>
          <w:rtl/>
        </w:rPr>
        <w:t>" (</w:t>
      </w:r>
      <w:r w:rsidR="009068DC">
        <w:rPr>
          <w:rFonts w:cs="David" w:hint="cs"/>
          <w:sz w:val="24"/>
          <w:szCs w:val="24"/>
          <w:rtl/>
        </w:rPr>
        <w:t xml:space="preserve">משנה תורה, </w:t>
      </w:r>
      <w:r w:rsidR="00871539">
        <w:rPr>
          <w:rFonts w:cs="David" w:hint="cs"/>
          <w:sz w:val="24"/>
          <w:szCs w:val="24"/>
          <w:rtl/>
        </w:rPr>
        <w:t>הלכות חובל ומזיק</w:t>
      </w:r>
      <w:r w:rsidR="009068DC">
        <w:rPr>
          <w:rFonts w:cs="David" w:hint="cs"/>
          <w:sz w:val="24"/>
          <w:szCs w:val="24"/>
          <w:rtl/>
        </w:rPr>
        <w:t>, פרק</w:t>
      </w:r>
      <w:r w:rsidR="00871539">
        <w:rPr>
          <w:rFonts w:cs="David" w:hint="cs"/>
          <w:sz w:val="24"/>
          <w:szCs w:val="24"/>
          <w:rtl/>
        </w:rPr>
        <w:t xml:space="preserve"> ג,</w:t>
      </w:r>
      <w:r w:rsidR="009068DC">
        <w:rPr>
          <w:rFonts w:cs="David" w:hint="cs"/>
          <w:sz w:val="24"/>
          <w:szCs w:val="24"/>
          <w:rtl/>
        </w:rPr>
        <w:t xml:space="preserve"> הלכה </w:t>
      </w:r>
      <w:r w:rsidR="00871539">
        <w:rPr>
          <w:rFonts w:cs="David" w:hint="cs"/>
          <w:sz w:val="24"/>
          <w:szCs w:val="24"/>
          <w:rtl/>
        </w:rPr>
        <w:t>ה), כיוון שהביוש "</w:t>
      </w:r>
      <w:proofErr w:type="spellStart"/>
      <w:r w:rsidR="00871539">
        <w:rPr>
          <w:rFonts w:cs="David" w:hint="cs"/>
          <w:sz w:val="24"/>
          <w:szCs w:val="24"/>
          <w:rtl/>
        </w:rPr>
        <w:t>ע</w:t>
      </w:r>
      <w:r w:rsidR="00871539" w:rsidRPr="00871539">
        <w:rPr>
          <w:rFonts w:cs="David"/>
          <w:sz w:val="24"/>
          <w:szCs w:val="24"/>
          <w:rtl/>
        </w:rPr>
        <w:t>ון</w:t>
      </w:r>
      <w:proofErr w:type="spellEnd"/>
      <w:r w:rsidR="00871539" w:rsidRPr="00871539">
        <w:rPr>
          <w:rFonts w:cs="David"/>
          <w:sz w:val="24"/>
          <w:szCs w:val="24"/>
          <w:rtl/>
        </w:rPr>
        <w:t xml:space="preserve"> גדול הוא, ואינו מחרף ומגדף לעם ומביישן אלא רשע שוטה, ואמרו חכמים הראשונים שכל המלבין פני אדם כשר מישראל ברבים אין לו חלק לעולם הב</w:t>
      </w:r>
      <w:r w:rsidR="00871539">
        <w:rPr>
          <w:rFonts w:cs="David" w:hint="cs"/>
          <w:sz w:val="24"/>
          <w:szCs w:val="24"/>
          <w:rtl/>
        </w:rPr>
        <w:t xml:space="preserve">א" (שם, </w:t>
      </w:r>
      <w:r w:rsidR="009068DC">
        <w:rPr>
          <w:rFonts w:cs="David" w:hint="cs"/>
          <w:sz w:val="24"/>
          <w:szCs w:val="24"/>
          <w:rtl/>
        </w:rPr>
        <w:t xml:space="preserve">הלכה ז). דברים אלה מקבלים משנה תוקף </w:t>
      </w:r>
      <w:r w:rsidR="00871539">
        <w:rPr>
          <w:rFonts w:cs="David" w:hint="cs"/>
          <w:sz w:val="24"/>
          <w:szCs w:val="24"/>
          <w:rtl/>
        </w:rPr>
        <w:t xml:space="preserve">נוכח היקף הביזוי </w:t>
      </w:r>
      <w:r w:rsidR="009068DC">
        <w:rPr>
          <w:rFonts w:cs="David" w:hint="cs"/>
          <w:sz w:val="24"/>
          <w:szCs w:val="24"/>
          <w:rtl/>
        </w:rPr>
        <w:t>ברשתות החברתיות</w:t>
      </w:r>
      <w:r w:rsidR="009068DC">
        <w:rPr>
          <w:rFonts w:cs="David" w:hint="cs"/>
          <w:sz w:val="24"/>
          <w:szCs w:val="24"/>
          <w:rtl/>
        </w:rPr>
        <w:t xml:space="preserve"> </w:t>
      </w:r>
      <w:r w:rsidR="00871539">
        <w:rPr>
          <w:rFonts w:cs="David" w:hint="cs"/>
          <w:sz w:val="24"/>
          <w:szCs w:val="24"/>
          <w:rtl/>
        </w:rPr>
        <w:t>ו</w:t>
      </w:r>
      <w:r w:rsidR="00F65BF6">
        <w:rPr>
          <w:rFonts w:cs="David" w:hint="cs"/>
          <w:sz w:val="24"/>
          <w:szCs w:val="24"/>
          <w:rtl/>
        </w:rPr>
        <w:t>התמשכותו</w:t>
      </w:r>
      <w:r w:rsidR="009068DC">
        <w:rPr>
          <w:rFonts w:cs="David" w:hint="cs"/>
          <w:sz w:val="24"/>
          <w:szCs w:val="24"/>
          <w:rtl/>
        </w:rPr>
        <w:t xml:space="preserve">. </w:t>
      </w:r>
      <w:r w:rsidR="00871539">
        <w:rPr>
          <w:rFonts w:cs="David" w:hint="cs"/>
          <w:sz w:val="24"/>
          <w:szCs w:val="24"/>
          <w:rtl/>
        </w:rPr>
        <w:t xml:space="preserve">לאחרונה </w:t>
      </w:r>
      <w:r w:rsidR="00F65BF6">
        <w:rPr>
          <w:rFonts w:cs="David" w:hint="cs"/>
          <w:sz w:val="24"/>
          <w:szCs w:val="24"/>
          <w:rtl/>
        </w:rPr>
        <w:t xml:space="preserve">אף </w:t>
      </w:r>
      <w:r w:rsidR="009068DC">
        <w:rPr>
          <w:rFonts w:cs="David" w:hint="cs"/>
          <w:sz w:val="24"/>
          <w:szCs w:val="24"/>
          <w:rtl/>
        </w:rPr>
        <w:t>קבע אחד מן הרבנים כי</w:t>
      </w:r>
      <w:r w:rsidR="00871539">
        <w:rPr>
          <w:rFonts w:cs="David" w:hint="cs"/>
          <w:sz w:val="24"/>
          <w:szCs w:val="24"/>
          <w:rtl/>
        </w:rPr>
        <w:t xml:space="preserve"> "</w:t>
      </w:r>
      <w:r w:rsidR="00871539" w:rsidRPr="00871539">
        <w:rPr>
          <w:rFonts w:cs="David"/>
          <w:sz w:val="24"/>
          <w:szCs w:val="24"/>
          <w:rtl/>
        </w:rPr>
        <w:t>פרסום מבזה בתפוצה רחבה ברשת האינטרנט מחייב פסיקת פיצוי כספי גבוה יותר מהנהוג בביוש 'מסורתי</w:t>
      </w:r>
      <w:r w:rsidR="009068DC">
        <w:rPr>
          <w:rFonts w:cs="David" w:hint="cs"/>
          <w:sz w:val="24"/>
          <w:szCs w:val="24"/>
          <w:rtl/>
        </w:rPr>
        <w:t>'</w:t>
      </w:r>
      <w:r w:rsidR="009068DC">
        <w:rPr>
          <w:rFonts w:cs="David" w:hint="eastAsia"/>
          <w:sz w:val="24"/>
          <w:szCs w:val="24"/>
          <w:rtl/>
        </w:rPr>
        <w:t> </w:t>
      </w:r>
      <w:r w:rsidR="00871539">
        <w:rPr>
          <w:rFonts w:cs="David" w:hint="cs"/>
          <w:sz w:val="24"/>
          <w:szCs w:val="24"/>
          <w:rtl/>
        </w:rPr>
        <w:t>".</w:t>
      </w:r>
      <w:r w:rsidR="00F65BF6">
        <w:rPr>
          <w:rStyle w:val="af0"/>
          <w:sz w:val="24"/>
          <w:szCs w:val="24"/>
          <w:rtl/>
        </w:rPr>
        <w:endnoteReference w:id="7"/>
      </w:r>
    </w:p>
    <w:p w:rsidR="00F15526" w:rsidRDefault="00A52507" w:rsidP="00A52507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4. </w:t>
      </w:r>
      <w:r w:rsidRPr="00A52507">
        <w:rPr>
          <w:rFonts w:cs="David" w:hint="cs"/>
          <w:b/>
          <w:bCs/>
          <w:sz w:val="24"/>
          <w:szCs w:val="24"/>
          <w:rtl/>
        </w:rPr>
        <w:t>כבוד הבר</w:t>
      </w:r>
      <w:r w:rsidR="00F65BF6" w:rsidRPr="00A52507">
        <w:rPr>
          <w:rFonts w:cs="David" w:hint="cs"/>
          <w:b/>
          <w:bCs/>
          <w:sz w:val="24"/>
          <w:szCs w:val="24"/>
          <w:rtl/>
        </w:rPr>
        <w:t>ות דוחה איסורי דרבנן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F65BF6">
        <w:rPr>
          <w:rFonts w:cs="David" w:hint="cs"/>
          <w:sz w:val="24"/>
          <w:szCs w:val="24"/>
          <w:rtl/>
        </w:rPr>
        <w:t>ח</w:t>
      </w:r>
      <w:r w:rsidR="00FD6E73">
        <w:rPr>
          <w:rFonts w:cs="David" w:hint="cs"/>
          <w:sz w:val="24"/>
          <w:szCs w:val="24"/>
          <w:rtl/>
        </w:rPr>
        <w:t>כמינו ראו בשמירה על כבודם</w:t>
      </w:r>
      <w:r w:rsidR="00F65BF6">
        <w:rPr>
          <w:rFonts w:cs="David" w:hint="cs"/>
          <w:sz w:val="24"/>
          <w:szCs w:val="24"/>
          <w:rtl/>
        </w:rPr>
        <w:t xml:space="preserve"> של הברי</w:t>
      </w:r>
      <w:r>
        <w:rPr>
          <w:rFonts w:cs="David" w:hint="cs"/>
          <w:sz w:val="24"/>
          <w:szCs w:val="24"/>
          <w:rtl/>
        </w:rPr>
        <w:t>ות יסוד כה חשוב, עד שבמקרים מסו</w:t>
      </w:r>
      <w:r w:rsidR="00F65BF6">
        <w:rPr>
          <w:rFonts w:cs="David" w:hint="cs"/>
          <w:sz w:val="24"/>
          <w:szCs w:val="24"/>
          <w:rtl/>
        </w:rPr>
        <w:t xml:space="preserve">ימים </w:t>
      </w:r>
      <w:r>
        <w:rPr>
          <w:rFonts w:cs="David" w:hint="cs"/>
          <w:sz w:val="24"/>
          <w:szCs w:val="24"/>
          <w:rtl/>
        </w:rPr>
        <w:t xml:space="preserve">דחו בגינו </w:t>
      </w:r>
      <w:r w:rsidR="00F65BF6">
        <w:rPr>
          <w:rFonts w:cs="David" w:hint="cs"/>
          <w:sz w:val="24"/>
          <w:szCs w:val="24"/>
          <w:rtl/>
        </w:rPr>
        <w:t xml:space="preserve">מצוות </w:t>
      </w:r>
      <w:r>
        <w:rPr>
          <w:rFonts w:cs="David" w:hint="cs"/>
          <w:sz w:val="24"/>
          <w:szCs w:val="24"/>
          <w:rtl/>
        </w:rPr>
        <w:t>(</w:t>
      </w:r>
      <w:r w:rsidR="00F65BF6">
        <w:rPr>
          <w:rFonts w:cs="David" w:hint="cs"/>
          <w:sz w:val="24"/>
          <w:szCs w:val="24"/>
          <w:rtl/>
        </w:rPr>
        <w:t>או איסורים</w:t>
      </w:r>
      <w:r>
        <w:rPr>
          <w:rFonts w:cs="David" w:hint="cs"/>
          <w:sz w:val="24"/>
          <w:szCs w:val="24"/>
          <w:rtl/>
        </w:rPr>
        <w:t>)</w:t>
      </w:r>
      <w:r w:rsidR="00F65BF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</w:t>
      </w:r>
      <w:r w:rsidR="00F65BF6">
        <w:rPr>
          <w:rFonts w:cs="David" w:hint="cs"/>
          <w:sz w:val="24"/>
          <w:szCs w:val="24"/>
          <w:rtl/>
        </w:rPr>
        <w:t>יסודם בדברי חכמים.</w:t>
      </w:r>
      <w:r w:rsidR="00F65BF6">
        <w:rPr>
          <w:rStyle w:val="af0"/>
          <w:sz w:val="24"/>
          <w:szCs w:val="24"/>
          <w:rtl/>
        </w:rPr>
        <w:endnoteReference w:id="8"/>
      </w:r>
      <w:r w:rsidR="00F65BF6">
        <w:rPr>
          <w:rFonts w:cs="David" w:hint="cs"/>
          <w:sz w:val="24"/>
          <w:szCs w:val="24"/>
          <w:rtl/>
        </w:rPr>
        <w:t xml:space="preserve"> למשל, יש מן הפוסקים שהתירו </w:t>
      </w:r>
      <w:r>
        <w:rPr>
          <w:rFonts w:cs="David" w:hint="cs"/>
          <w:sz w:val="24"/>
          <w:szCs w:val="24"/>
          <w:rtl/>
        </w:rPr>
        <w:t xml:space="preserve">לתפור </w:t>
      </w:r>
      <w:r w:rsidR="00F65BF6">
        <w:rPr>
          <w:rFonts w:cs="David" w:hint="cs"/>
          <w:sz w:val="24"/>
          <w:szCs w:val="24"/>
          <w:rtl/>
        </w:rPr>
        <w:t>פצע בשבת</w:t>
      </w:r>
      <w:r w:rsidR="00F15526">
        <w:rPr>
          <w:rFonts w:cs="David" w:hint="cs"/>
          <w:sz w:val="24"/>
          <w:szCs w:val="24"/>
          <w:rtl/>
        </w:rPr>
        <w:t xml:space="preserve">, אף שהדבר כרוך באיסור דרבנן, </w:t>
      </w:r>
      <w:r>
        <w:rPr>
          <w:rFonts w:cs="David" w:hint="cs"/>
          <w:sz w:val="24"/>
          <w:szCs w:val="24"/>
          <w:rtl/>
        </w:rPr>
        <w:t>אם מדובר ב</w:t>
      </w:r>
      <w:r w:rsidR="00F15526">
        <w:rPr>
          <w:rFonts w:cs="David" w:hint="cs"/>
          <w:sz w:val="24"/>
          <w:szCs w:val="24"/>
          <w:rtl/>
        </w:rPr>
        <w:t xml:space="preserve">פצע </w:t>
      </w:r>
      <w:r>
        <w:rPr>
          <w:rFonts w:cs="David" w:hint="cs"/>
          <w:sz w:val="24"/>
          <w:szCs w:val="24"/>
          <w:rtl/>
        </w:rPr>
        <w:t>ה</w:t>
      </w:r>
      <w:r w:rsidR="00F15526">
        <w:rPr>
          <w:rFonts w:cs="David" w:hint="cs"/>
          <w:sz w:val="24"/>
          <w:szCs w:val="24"/>
          <w:rtl/>
        </w:rPr>
        <w:t xml:space="preserve">נמצא במקום גלוי </w:t>
      </w:r>
      <w:proofErr w:type="spellStart"/>
      <w:r w:rsidR="00F15526">
        <w:rPr>
          <w:rFonts w:cs="David" w:hint="cs"/>
          <w:sz w:val="24"/>
          <w:szCs w:val="24"/>
          <w:rtl/>
        </w:rPr>
        <w:t>ואי</w:t>
      </w:r>
      <w:r>
        <w:rPr>
          <w:rFonts w:cs="David" w:hint="eastAsia"/>
          <w:sz w:val="24"/>
          <w:szCs w:val="24"/>
          <w:rtl/>
        </w:rPr>
        <w:t>־</w:t>
      </w:r>
      <w:r w:rsidR="00F15526">
        <w:rPr>
          <w:rFonts w:cs="David" w:hint="cs"/>
          <w:sz w:val="24"/>
          <w:szCs w:val="24"/>
          <w:rtl/>
        </w:rPr>
        <w:t>תפירתו</w:t>
      </w:r>
      <w:proofErr w:type="spellEnd"/>
      <w:r w:rsidR="00F15526">
        <w:rPr>
          <w:rFonts w:cs="David" w:hint="cs"/>
          <w:sz w:val="24"/>
          <w:szCs w:val="24"/>
          <w:rtl/>
        </w:rPr>
        <w:t xml:space="preserve"> בשבת ת</w:t>
      </w:r>
      <w:r>
        <w:rPr>
          <w:rFonts w:cs="David" w:hint="cs"/>
          <w:sz w:val="24"/>
          <w:szCs w:val="24"/>
          <w:rtl/>
        </w:rPr>
        <w:t xml:space="preserve">יצור בעתיד </w:t>
      </w:r>
      <w:r w:rsidR="00F15526">
        <w:rPr>
          <w:rFonts w:cs="David" w:hint="cs"/>
          <w:sz w:val="24"/>
          <w:szCs w:val="24"/>
          <w:rtl/>
        </w:rPr>
        <w:t>צלקת</w:t>
      </w:r>
      <w:r>
        <w:rPr>
          <w:rFonts w:cs="David" w:hint="cs"/>
          <w:sz w:val="24"/>
          <w:szCs w:val="24"/>
          <w:rtl/>
        </w:rPr>
        <w:t xml:space="preserve"> מכוערת</w:t>
      </w:r>
      <w:r w:rsidR="00F15526">
        <w:rPr>
          <w:rFonts w:cs="David" w:hint="cs"/>
          <w:sz w:val="24"/>
          <w:szCs w:val="24"/>
          <w:rtl/>
        </w:rPr>
        <w:t xml:space="preserve"> המביאה עמה בושה.</w:t>
      </w:r>
      <w:r w:rsidR="00F15526">
        <w:rPr>
          <w:rStyle w:val="af0"/>
          <w:sz w:val="24"/>
          <w:szCs w:val="24"/>
          <w:rtl/>
        </w:rPr>
        <w:endnoteReference w:id="9"/>
      </w:r>
      <w:r w:rsidR="00F15526">
        <w:rPr>
          <w:rFonts w:cs="David" w:hint="cs"/>
          <w:sz w:val="24"/>
          <w:szCs w:val="24"/>
          <w:rtl/>
        </w:rPr>
        <w:t xml:space="preserve"> </w:t>
      </w:r>
      <w:r w:rsidR="00AF1C42">
        <w:rPr>
          <w:rFonts w:cs="David" w:hint="cs"/>
          <w:sz w:val="24"/>
          <w:szCs w:val="24"/>
          <w:rtl/>
        </w:rPr>
        <w:t>יש מן הפוסקים ש</w:t>
      </w:r>
      <w:r>
        <w:rPr>
          <w:rFonts w:cs="David" w:hint="cs"/>
          <w:sz w:val="24"/>
          <w:szCs w:val="24"/>
          <w:rtl/>
        </w:rPr>
        <w:t>דנו בשאלה</w:t>
      </w:r>
      <w:r w:rsidR="00AF1C42">
        <w:rPr>
          <w:rFonts w:cs="David" w:hint="cs"/>
          <w:sz w:val="24"/>
          <w:szCs w:val="24"/>
          <w:rtl/>
        </w:rPr>
        <w:t xml:space="preserve"> האם מותר לחלל את השבת על מנת לעצור את "</w:t>
      </w:r>
      <w:r w:rsidR="00AF1C42" w:rsidRPr="00AF1C42">
        <w:rPr>
          <w:rFonts w:cs="David"/>
          <w:sz w:val="24"/>
          <w:szCs w:val="24"/>
          <w:rtl/>
        </w:rPr>
        <w:t xml:space="preserve">מי שרודף אחר </w:t>
      </w:r>
      <w:proofErr w:type="spellStart"/>
      <w:r w:rsidR="00AF1C42" w:rsidRPr="00AF1C42">
        <w:rPr>
          <w:rFonts w:cs="David"/>
          <w:sz w:val="24"/>
          <w:szCs w:val="24"/>
          <w:rtl/>
        </w:rPr>
        <w:t>חבירו</w:t>
      </w:r>
      <w:proofErr w:type="spellEnd"/>
      <w:r w:rsidR="00AF1C42" w:rsidRPr="00AF1C42">
        <w:rPr>
          <w:rFonts w:cs="David"/>
          <w:sz w:val="24"/>
          <w:szCs w:val="24"/>
          <w:rtl/>
        </w:rPr>
        <w:t xml:space="preserve"> לבזותו ולהלבין פניו ברבים בעלילות של שקרים וכזבים</w:t>
      </w:r>
      <w:r w:rsidR="00AF1C42">
        <w:rPr>
          <w:rFonts w:cs="David" w:hint="cs"/>
          <w:sz w:val="24"/>
          <w:szCs w:val="24"/>
          <w:rtl/>
        </w:rPr>
        <w:t>".</w:t>
      </w:r>
      <w:r w:rsidR="00AF1C42">
        <w:rPr>
          <w:rStyle w:val="af0"/>
          <w:sz w:val="24"/>
          <w:szCs w:val="24"/>
          <w:rtl/>
        </w:rPr>
        <w:endnoteReference w:id="10"/>
      </w:r>
      <w:r w:rsidR="00AF1C42">
        <w:rPr>
          <w:rFonts w:cs="David" w:hint="cs"/>
          <w:sz w:val="24"/>
          <w:szCs w:val="24"/>
          <w:rtl/>
        </w:rPr>
        <w:t xml:space="preserve"> א</w:t>
      </w:r>
      <w:r>
        <w:rPr>
          <w:rFonts w:cs="David" w:hint="cs"/>
          <w:sz w:val="24"/>
          <w:szCs w:val="24"/>
          <w:rtl/>
        </w:rPr>
        <w:t>ו</w:t>
      </w:r>
      <w:r w:rsidR="00AF1C42">
        <w:rPr>
          <w:rFonts w:cs="David" w:hint="cs"/>
          <w:sz w:val="24"/>
          <w:szCs w:val="24"/>
          <w:rtl/>
        </w:rPr>
        <w:t xml:space="preserve">מנם, </w:t>
      </w:r>
      <w:r>
        <w:rPr>
          <w:rFonts w:cs="David" w:hint="cs"/>
          <w:sz w:val="24"/>
          <w:szCs w:val="24"/>
          <w:rtl/>
        </w:rPr>
        <w:t xml:space="preserve">מסקנת הדיון היא </w:t>
      </w:r>
      <w:r w:rsidR="00AF1C42">
        <w:rPr>
          <w:rFonts w:cs="David" w:hint="cs"/>
          <w:sz w:val="24"/>
          <w:szCs w:val="24"/>
          <w:rtl/>
        </w:rPr>
        <w:t xml:space="preserve">שאין לחלל את השבת </w:t>
      </w:r>
      <w:r>
        <w:rPr>
          <w:rFonts w:cs="David" w:hint="cs"/>
          <w:sz w:val="24"/>
          <w:szCs w:val="24"/>
          <w:rtl/>
        </w:rPr>
        <w:t>במקרה כזה</w:t>
      </w:r>
      <w:r w:rsidR="00AF1C42">
        <w:rPr>
          <w:rFonts w:cs="David" w:hint="cs"/>
          <w:sz w:val="24"/>
          <w:szCs w:val="24"/>
          <w:rtl/>
        </w:rPr>
        <w:t>; אך עצם הדיון</w:t>
      </w:r>
      <w:r w:rsidR="00F1552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מורה על </w:t>
      </w:r>
      <w:r w:rsidR="00F15526">
        <w:rPr>
          <w:rFonts w:cs="David" w:hint="cs"/>
          <w:sz w:val="24"/>
          <w:szCs w:val="24"/>
          <w:rtl/>
        </w:rPr>
        <w:t>החשיבות הגדולה שייחסו חכמינו למניעת ביוש.</w:t>
      </w:r>
    </w:p>
    <w:p w:rsidR="00F15526" w:rsidRPr="00A52507" w:rsidRDefault="00A52507" w:rsidP="009068DC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5. </w:t>
      </w:r>
      <w:r w:rsidRPr="00A52507">
        <w:rPr>
          <w:rFonts w:cs="David" w:hint="cs"/>
          <w:b/>
          <w:bCs/>
          <w:sz w:val="24"/>
          <w:szCs w:val="24"/>
          <w:rtl/>
        </w:rPr>
        <w:t xml:space="preserve">תקנות לשמירת כבודם של בני אדם </w:t>
      </w:r>
      <w:r w:rsidRPr="00A52507">
        <w:rPr>
          <w:rFonts w:cs="David"/>
          <w:b/>
          <w:bCs/>
          <w:sz w:val="24"/>
          <w:szCs w:val="24"/>
          <w:rtl/>
        </w:rPr>
        <w:t>–</w:t>
      </w:r>
      <w:r w:rsidRPr="00A52507">
        <w:rPr>
          <w:rFonts w:cs="David" w:hint="cs"/>
          <w:sz w:val="24"/>
          <w:szCs w:val="24"/>
          <w:rtl/>
        </w:rPr>
        <w:t xml:space="preserve"> </w:t>
      </w:r>
      <w:r w:rsidR="00F15526" w:rsidRPr="00A52507">
        <w:rPr>
          <w:rFonts w:cs="David" w:hint="cs"/>
          <w:sz w:val="24"/>
          <w:szCs w:val="24"/>
          <w:rtl/>
        </w:rPr>
        <w:t xml:space="preserve">חכמינו לא הסתפקו בהיתרים שנועדו למניעת ביוש, אלא אף הוסיפו ותיקנו תקנות שמטרתן </w:t>
      </w:r>
      <w:r>
        <w:rPr>
          <w:rFonts w:cs="David" w:hint="cs"/>
          <w:sz w:val="24"/>
          <w:szCs w:val="24"/>
          <w:rtl/>
        </w:rPr>
        <w:t xml:space="preserve">היא </w:t>
      </w:r>
      <w:r w:rsidR="00F15526" w:rsidRPr="00A52507">
        <w:rPr>
          <w:rFonts w:cs="David" w:hint="cs"/>
          <w:sz w:val="24"/>
          <w:szCs w:val="24"/>
          <w:rtl/>
        </w:rPr>
        <w:t xml:space="preserve">שמירה על כבוד הבריות. </w:t>
      </w:r>
      <w:r w:rsidR="00F15526" w:rsidRPr="00A52507">
        <w:rPr>
          <w:rFonts w:cs="David"/>
          <w:sz w:val="24"/>
          <w:szCs w:val="24"/>
          <w:rtl/>
        </w:rPr>
        <w:t>רבן שמעון בן גמליאל</w:t>
      </w:r>
      <w:r>
        <w:rPr>
          <w:rFonts w:cs="David" w:hint="cs"/>
          <w:sz w:val="24"/>
          <w:szCs w:val="24"/>
          <w:rtl/>
        </w:rPr>
        <w:t xml:space="preserve"> העיד כי</w:t>
      </w:r>
      <w:r w:rsidR="00F15526" w:rsidRPr="00A52507">
        <w:rPr>
          <w:rFonts w:cs="David"/>
          <w:sz w:val="24"/>
          <w:szCs w:val="24"/>
          <w:rtl/>
        </w:rPr>
        <w:t xml:space="preserve"> "לא היו ימים טובים לישראל כחמשה עשר באב וכיום הכפורים, שבהן בנות ירושלם יוצאות בכלי לבן שאולין, שלא לבייש את מי שאין לו"</w:t>
      </w:r>
      <w:r w:rsidR="00961ECD" w:rsidRPr="00A52507">
        <w:rPr>
          <w:rFonts w:cs="David" w:hint="cs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 xml:space="preserve">משנה, תענית ד, ח). </w:t>
      </w:r>
      <w:r w:rsidR="00961ECD" w:rsidRPr="00A52507">
        <w:rPr>
          <w:rFonts w:cs="David" w:hint="cs"/>
          <w:sz w:val="24"/>
          <w:szCs w:val="24"/>
          <w:rtl/>
        </w:rPr>
        <w:t>בתלמוד נאמר: "</w:t>
      </w:r>
      <w:r w:rsidR="00961ECD" w:rsidRPr="00A52507">
        <w:rPr>
          <w:rFonts w:cs="David"/>
          <w:sz w:val="24"/>
          <w:szCs w:val="24"/>
          <w:rtl/>
        </w:rPr>
        <w:t>מפני מה תקנו תפלה בלחש</w:t>
      </w:r>
      <w:r>
        <w:rPr>
          <w:rFonts w:cs="David" w:hint="cs"/>
          <w:sz w:val="24"/>
          <w:szCs w:val="24"/>
          <w:rtl/>
        </w:rPr>
        <w:t>?</w:t>
      </w:r>
      <w:r w:rsidR="00961ECD" w:rsidRPr="00A52507">
        <w:rPr>
          <w:rFonts w:cs="David" w:hint="cs"/>
          <w:sz w:val="24"/>
          <w:szCs w:val="24"/>
          <w:rtl/>
        </w:rPr>
        <w:t xml:space="preserve"> </w:t>
      </w:r>
      <w:r w:rsidR="00961ECD" w:rsidRPr="00A52507">
        <w:rPr>
          <w:rFonts w:cs="David"/>
          <w:sz w:val="24"/>
          <w:szCs w:val="24"/>
          <w:rtl/>
        </w:rPr>
        <w:t>כדי שלא לבייש את עוברי עבירה</w:t>
      </w:r>
      <w:r w:rsidR="00961ECD" w:rsidRPr="00A52507">
        <w:rPr>
          <w:rFonts w:cs="David" w:hint="cs"/>
          <w:sz w:val="24"/>
          <w:szCs w:val="24"/>
          <w:rtl/>
        </w:rPr>
        <w:t xml:space="preserve">" (סוטה לב ע"ב). אף בתקופות מאוחרות יותר עמלו חכמים </w:t>
      </w:r>
      <w:r>
        <w:rPr>
          <w:rFonts w:cs="David" w:hint="cs"/>
          <w:sz w:val="24"/>
          <w:szCs w:val="24"/>
          <w:rtl/>
        </w:rPr>
        <w:t xml:space="preserve">לתקן תקנות שעניינן מניעת </w:t>
      </w:r>
      <w:r w:rsidR="00961ECD" w:rsidRPr="00A52507">
        <w:rPr>
          <w:rFonts w:cs="David" w:hint="cs"/>
          <w:sz w:val="24"/>
          <w:szCs w:val="24"/>
          <w:rtl/>
        </w:rPr>
        <w:t xml:space="preserve">בושה וביזוי. למשל, </w:t>
      </w:r>
      <w:r w:rsidR="00F15526" w:rsidRPr="00A52507">
        <w:rPr>
          <w:rFonts w:cs="David"/>
          <w:sz w:val="24"/>
          <w:szCs w:val="24"/>
          <w:rtl/>
        </w:rPr>
        <w:t>אחת התקנות המיוחסות לרבנו גרש</w:t>
      </w:r>
      <w:r>
        <w:rPr>
          <w:rFonts w:cs="David" w:hint="cs"/>
          <w:sz w:val="24"/>
          <w:szCs w:val="24"/>
          <w:rtl/>
        </w:rPr>
        <w:t>ו</w:t>
      </w:r>
      <w:r w:rsidR="00F15526" w:rsidRPr="00A52507">
        <w:rPr>
          <w:rFonts w:cs="David"/>
          <w:sz w:val="24"/>
          <w:szCs w:val="24"/>
          <w:rtl/>
        </w:rPr>
        <w:t xml:space="preserve">ם מאור הגולה </w:t>
      </w:r>
      <w:r w:rsidR="009068DC">
        <w:rPr>
          <w:rFonts w:cs="David" w:hint="cs"/>
          <w:sz w:val="24"/>
          <w:szCs w:val="24"/>
          <w:rtl/>
        </w:rPr>
        <w:t>עוסקת בהטלת</w:t>
      </w:r>
      <w:r w:rsidR="00F15526" w:rsidRPr="00A52507">
        <w:rPr>
          <w:rFonts w:cs="David"/>
          <w:sz w:val="24"/>
          <w:szCs w:val="24"/>
          <w:rtl/>
        </w:rPr>
        <w:t xml:space="preserve"> חרם על </w:t>
      </w:r>
      <w:r w:rsidR="00961ECD" w:rsidRPr="00A52507">
        <w:rPr>
          <w:rFonts w:cs="David" w:hint="cs"/>
          <w:sz w:val="24"/>
          <w:szCs w:val="24"/>
          <w:rtl/>
        </w:rPr>
        <w:t xml:space="preserve">המבייש </w:t>
      </w:r>
      <w:r w:rsidR="00F15526" w:rsidRPr="00A52507">
        <w:rPr>
          <w:rFonts w:cs="David"/>
          <w:sz w:val="24"/>
          <w:szCs w:val="24"/>
          <w:rtl/>
        </w:rPr>
        <w:t xml:space="preserve">חתן וכלה הבאים בקשרי שידוכין </w:t>
      </w:r>
      <w:r w:rsidR="00961ECD" w:rsidRPr="00A52507">
        <w:rPr>
          <w:rFonts w:cs="David" w:hint="cs"/>
          <w:sz w:val="24"/>
          <w:szCs w:val="24"/>
          <w:rtl/>
        </w:rPr>
        <w:t xml:space="preserve">ומזכיר כי </w:t>
      </w:r>
      <w:r w:rsidR="00F15526" w:rsidRPr="00A52507">
        <w:rPr>
          <w:rFonts w:cs="David"/>
          <w:sz w:val="24"/>
          <w:szCs w:val="24"/>
          <w:rtl/>
        </w:rPr>
        <w:t>אחד מבני משפחתם המיר את דתו</w:t>
      </w:r>
      <w:r w:rsidR="00961ECD" w:rsidRPr="00A52507">
        <w:rPr>
          <w:rFonts w:cs="David" w:hint="cs"/>
          <w:sz w:val="24"/>
          <w:szCs w:val="24"/>
          <w:rtl/>
        </w:rPr>
        <w:t>.</w:t>
      </w:r>
      <w:r w:rsidR="00961ECD">
        <w:rPr>
          <w:rStyle w:val="af0"/>
          <w:sz w:val="24"/>
          <w:szCs w:val="24"/>
          <w:rtl/>
        </w:rPr>
        <w:endnoteReference w:id="11"/>
      </w:r>
    </w:p>
    <w:p w:rsidR="00D24F11" w:rsidRPr="00961ECD" w:rsidRDefault="00A52507" w:rsidP="009068DC">
      <w:pPr>
        <w:spacing w:after="240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6. </w:t>
      </w:r>
      <w:r w:rsidR="00961ECD" w:rsidRPr="00A52507">
        <w:rPr>
          <w:rFonts w:cs="David" w:hint="cs"/>
          <w:b/>
          <w:bCs/>
          <w:sz w:val="24"/>
          <w:szCs w:val="24"/>
          <w:rtl/>
        </w:rPr>
        <w:t>חובת</w:t>
      </w:r>
      <w:r>
        <w:rPr>
          <w:rFonts w:cs="David" w:hint="cs"/>
          <w:b/>
          <w:bCs/>
          <w:sz w:val="24"/>
          <w:szCs w:val="24"/>
          <w:rtl/>
        </w:rPr>
        <w:t>ה של</w:t>
      </w:r>
      <w:r w:rsidR="00961ECD" w:rsidRPr="00A52507">
        <w:rPr>
          <w:rFonts w:cs="David" w:hint="cs"/>
          <w:b/>
          <w:bCs/>
          <w:sz w:val="24"/>
          <w:szCs w:val="24"/>
          <w:rtl/>
        </w:rPr>
        <w:t xml:space="preserve"> החברה לשמור על כבוד הבריות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961ECD">
        <w:rPr>
          <w:rFonts w:cs="David" w:hint="cs"/>
          <w:sz w:val="24"/>
          <w:szCs w:val="24"/>
          <w:rtl/>
        </w:rPr>
        <w:t xml:space="preserve">כפי שראינו לעיל, הפוסקים הטילו על בית הדין ועל נבחרי הציבור את האחריות לכך שבני החברה לא יבזו זה את זה </w:t>
      </w:r>
      <w:r w:rsidR="00961ECD">
        <w:rPr>
          <w:rFonts w:cs="David"/>
          <w:sz w:val="24"/>
          <w:szCs w:val="24"/>
          <w:rtl/>
        </w:rPr>
        <w:t>–</w:t>
      </w:r>
      <w:r w:rsidR="00961ECD">
        <w:rPr>
          <w:rFonts w:cs="David" w:hint="cs"/>
          <w:sz w:val="24"/>
          <w:szCs w:val="24"/>
          <w:rtl/>
        </w:rPr>
        <w:t xml:space="preserve"> </w:t>
      </w:r>
      <w:r w:rsidR="009068DC">
        <w:rPr>
          <w:rFonts w:cs="David" w:hint="cs"/>
          <w:sz w:val="24"/>
          <w:szCs w:val="24"/>
          <w:rtl/>
        </w:rPr>
        <w:t>הן על ידי קנסות ועונשים, הן על ידי תקנות וגזירות. כיוצא בזה</w:t>
      </w:r>
      <w:r w:rsidR="00D24F11">
        <w:rPr>
          <w:rFonts w:cs="David" w:hint="cs"/>
          <w:sz w:val="24"/>
          <w:szCs w:val="24"/>
          <w:rtl/>
        </w:rPr>
        <w:t xml:space="preserve"> כתב הרמב"ם </w:t>
      </w:r>
      <w:r w:rsidR="009068DC">
        <w:rPr>
          <w:rFonts w:cs="David" w:hint="cs"/>
          <w:sz w:val="24"/>
          <w:szCs w:val="24"/>
          <w:rtl/>
        </w:rPr>
        <w:t xml:space="preserve">שלימד </w:t>
      </w:r>
      <w:r w:rsidR="00D24F11">
        <w:rPr>
          <w:rFonts w:cs="David" w:hint="cs"/>
          <w:sz w:val="24"/>
          <w:szCs w:val="24"/>
          <w:rtl/>
        </w:rPr>
        <w:t>כי על המלך לחוס "על כבוד קטן שבקטנים" (</w:t>
      </w:r>
      <w:r w:rsidR="009068DC">
        <w:rPr>
          <w:rFonts w:cs="David" w:hint="cs"/>
          <w:sz w:val="24"/>
          <w:szCs w:val="24"/>
          <w:rtl/>
        </w:rPr>
        <w:t xml:space="preserve">משנה תורה, הלכות מלכים, פרק </w:t>
      </w:r>
      <w:r w:rsidR="00D24F11">
        <w:rPr>
          <w:rFonts w:cs="David" w:hint="cs"/>
          <w:sz w:val="24"/>
          <w:szCs w:val="24"/>
          <w:rtl/>
        </w:rPr>
        <w:t>ב,</w:t>
      </w:r>
      <w:r w:rsidR="009068DC">
        <w:rPr>
          <w:rFonts w:cs="David" w:hint="cs"/>
          <w:sz w:val="24"/>
          <w:szCs w:val="24"/>
          <w:rtl/>
        </w:rPr>
        <w:t xml:space="preserve"> הלכה</w:t>
      </w:r>
      <w:r w:rsidR="00D24F11">
        <w:rPr>
          <w:rFonts w:cs="David" w:hint="cs"/>
          <w:sz w:val="24"/>
          <w:szCs w:val="24"/>
          <w:rtl/>
        </w:rPr>
        <w:t xml:space="preserve"> ו), ו</w:t>
      </w:r>
      <w:r w:rsidR="009068DC">
        <w:rPr>
          <w:rFonts w:cs="David" w:hint="cs"/>
          <w:sz w:val="24"/>
          <w:szCs w:val="24"/>
          <w:rtl/>
        </w:rPr>
        <w:t xml:space="preserve">למעשה </w:t>
      </w:r>
      <w:r w:rsidR="00D24F11">
        <w:rPr>
          <w:rFonts w:cs="David" w:hint="cs"/>
          <w:sz w:val="24"/>
          <w:szCs w:val="24"/>
          <w:rtl/>
        </w:rPr>
        <w:t>זה</w:t>
      </w:r>
      <w:r w:rsidR="009068DC">
        <w:rPr>
          <w:rFonts w:cs="David" w:hint="cs"/>
          <w:sz w:val="24"/>
          <w:szCs w:val="24"/>
          <w:rtl/>
        </w:rPr>
        <w:t>ו</w:t>
      </w:r>
      <w:r w:rsidR="00D24F11">
        <w:rPr>
          <w:rFonts w:cs="David" w:hint="cs"/>
          <w:sz w:val="24"/>
          <w:szCs w:val="24"/>
          <w:rtl/>
        </w:rPr>
        <w:t xml:space="preserve"> חלק מתפקידו של השלטון "</w:t>
      </w:r>
      <w:r w:rsidR="00D24F11" w:rsidRPr="00D24F11">
        <w:rPr>
          <w:rFonts w:cs="David"/>
          <w:sz w:val="24"/>
          <w:szCs w:val="24"/>
          <w:rtl/>
        </w:rPr>
        <w:t>למלאות העולם צדק, ולשבור זרוע הרשעים</w:t>
      </w:r>
      <w:r w:rsidR="00D24F11">
        <w:rPr>
          <w:rFonts w:cs="David" w:hint="cs"/>
          <w:sz w:val="24"/>
          <w:szCs w:val="24"/>
          <w:rtl/>
        </w:rPr>
        <w:t xml:space="preserve">" (שם, </w:t>
      </w:r>
      <w:r w:rsidR="009068DC">
        <w:rPr>
          <w:rFonts w:cs="David" w:hint="cs"/>
          <w:sz w:val="24"/>
          <w:szCs w:val="24"/>
          <w:rtl/>
        </w:rPr>
        <w:t xml:space="preserve">פרק </w:t>
      </w:r>
      <w:r w:rsidR="00D24F11">
        <w:rPr>
          <w:rFonts w:cs="David" w:hint="cs"/>
          <w:sz w:val="24"/>
          <w:szCs w:val="24"/>
          <w:rtl/>
        </w:rPr>
        <w:t>ד,</w:t>
      </w:r>
      <w:r w:rsidR="009068DC">
        <w:rPr>
          <w:rFonts w:cs="David" w:hint="cs"/>
          <w:sz w:val="24"/>
          <w:szCs w:val="24"/>
          <w:rtl/>
        </w:rPr>
        <w:t xml:space="preserve"> הלכה </w:t>
      </w:r>
      <w:r w:rsidR="00D24F11">
        <w:rPr>
          <w:rFonts w:cs="David" w:hint="cs"/>
          <w:sz w:val="24"/>
          <w:szCs w:val="24"/>
          <w:rtl/>
        </w:rPr>
        <w:t>י)</w:t>
      </w:r>
      <w:r w:rsidR="00957151">
        <w:rPr>
          <w:rFonts w:cs="David" w:hint="cs"/>
          <w:sz w:val="24"/>
          <w:szCs w:val="24"/>
          <w:rtl/>
        </w:rPr>
        <w:t>.</w:t>
      </w:r>
    </w:p>
    <w:p w:rsidR="00B67482" w:rsidRPr="00632942" w:rsidRDefault="00A81E14" w:rsidP="009068DC">
      <w:pPr>
        <w:spacing w:after="240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לאור האמור, רבני </w:t>
      </w:r>
      <w:r w:rsidR="00A52507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A52507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D24F11">
        <w:rPr>
          <w:rFonts w:cs="David" w:hint="cs"/>
          <w:b/>
          <w:bCs/>
          <w:sz w:val="24"/>
          <w:szCs w:val="24"/>
          <w:rtl/>
        </w:rPr>
        <w:t>קוראים לשלטון להחמיר</w:t>
      </w:r>
      <w:r w:rsidR="00A52507">
        <w:rPr>
          <w:rFonts w:cs="David" w:hint="cs"/>
          <w:b/>
          <w:bCs/>
          <w:sz w:val="24"/>
          <w:szCs w:val="24"/>
          <w:rtl/>
        </w:rPr>
        <w:t xml:space="preserve"> את הענישה ולתקן חוקים מיוחדים </w:t>
      </w:r>
      <w:r w:rsidR="00D24F11">
        <w:rPr>
          <w:rFonts w:cs="David" w:hint="cs"/>
          <w:b/>
          <w:bCs/>
          <w:sz w:val="24"/>
          <w:szCs w:val="24"/>
          <w:rtl/>
        </w:rPr>
        <w:t>על מנת לעצור את תופעת הביוש ברשת</w:t>
      </w:r>
      <w:r w:rsidR="00A52507">
        <w:rPr>
          <w:rFonts w:cs="David" w:hint="cs"/>
          <w:b/>
          <w:bCs/>
          <w:sz w:val="24"/>
          <w:szCs w:val="24"/>
          <w:rtl/>
        </w:rPr>
        <w:t xml:space="preserve"> האינטרנט</w:t>
      </w:r>
      <w:r w:rsidR="00D24F11">
        <w:rPr>
          <w:rFonts w:cs="David" w:hint="cs"/>
          <w:b/>
          <w:bCs/>
          <w:sz w:val="24"/>
          <w:szCs w:val="24"/>
          <w:rtl/>
        </w:rPr>
        <w:t xml:space="preserve"> ו</w:t>
      </w:r>
      <w:r w:rsidR="009068DC">
        <w:rPr>
          <w:rFonts w:cs="David" w:hint="cs"/>
          <w:b/>
          <w:bCs/>
          <w:sz w:val="24"/>
          <w:szCs w:val="24"/>
          <w:rtl/>
        </w:rPr>
        <w:t>במקומות</w:t>
      </w:r>
      <w:r w:rsidR="00A52507">
        <w:rPr>
          <w:rFonts w:cs="David" w:hint="cs"/>
          <w:b/>
          <w:bCs/>
          <w:sz w:val="24"/>
          <w:szCs w:val="24"/>
          <w:rtl/>
        </w:rPr>
        <w:t xml:space="preserve"> </w:t>
      </w:r>
      <w:r w:rsidR="00D24F11">
        <w:rPr>
          <w:rFonts w:cs="David" w:hint="cs"/>
          <w:b/>
          <w:bCs/>
          <w:sz w:val="24"/>
          <w:szCs w:val="24"/>
          <w:rtl/>
        </w:rPr>
        <w:t>אחרים.</w:t>
      </w:r>
    </w:p>
    <w:sectPr w:rsidR="00B67482" w:rsidRPr="00632942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774" w:rsidRDefault="005F4774">
      <w:r>
        <w:separator/>
      </w:r>
    </w:p>
  </w:endnote>
  <w:endnote w:type="continuationSeparator" w:id="0">
    <w:p w:rsidR="005F4774" w:rsidRDefault="005F4774">
      <w:r>
        <w:continuationSeparator/>
      </w:r>
    </w:p>
  </w:endnote>
  <w:endnote w:id="1">
    <w:p w:rsidR="00514A9E" w:rsidRDefault="00514A9E" w:rsidP="00A52507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EC04D5">
        <w:rPr>
          <w:rFonts w:hint="cs"/>
          <w:rtl/>
        </w:rPr>
        <w:t>ה</w:t>
      </w:r>
      <w:r w:rsidR="00D24F11">
        <w:rPr>
          <w:rFonts w:hint="cs"/>
          <w:rtl/>
        </w:rPr>
        <w:t xml:space="preserve">מבוא </w:t>
      </w:r>
      <w:r w:rsidR="00EC04D5">
        <w:rPr>
          <w:rFonts w:hint="cs"/>
          <w:rtl/>
        </w:rPr>
        <w:t>מבוסס</w:t>
      </w:r>
      <w:r w:rsidR="00662210">
        <w:rPr>
          <w:rFonts w:hint="cs"/>
          <w:rtl/>
        </w:rPr>
        <w:t xml:space="preserve"> על מאמרו של הרב יהודה </w:t>
      </w:r>
      <w:proofErr w:type="spellStart"/>
      <w:r w:rsidR="00662210">
        <w:rPr>
          <w:rFonts w:hint="cs"/>
          <w:rtl/>
        </w:rPr>
        <w:t>זולדן</w:t>
      </w:r>
      <w:proofErr w:type="spellEnd"/>
      <w:r w:rsidR="00662210">
        <w:rPr>
          <w:rFonts w:hint="cs"/>
          <w:rtl/>
        </w:rPr>
        <w:t xml:space="preserve"> 'הלבנת פנים: ביוש ברשתות החברתיות (</w:t>
      </w:r>
      <w:proofErr w:type="spellStart"/>
      <w:r w:rsidR="00662210">
        <w:rPr>
          <w:rFonts w:hint="cs"/>
          <w:rtl/>
        </w:rPr>
        <w:t>שיימינג</w:t>
      </w:r>
      <w:proofErr w:type="spellEnd"/>
      <w:r w:rsidR="00662210">
        <w:rPr>
          <w:rFonts w:hint="cs"/>
          <w:rtl/>
        </w:rPr>
        <w:t xml:space="preserve">)', </w:t>
      </w:r>
      <w:proofErr w:type="spellStart"/>
      <w:r w:rsidR="00662210">
        <w:rPr>
          <w:rFonts w:hint="cs"/>
          <w:rtl/>
        </w:rPr>
        <w:t>תחומין</w:t>
      </w:r>
      <w:proofErr w:type="spellEnd"/>
      <w:r w:rsidR="00662210">
        <w:rPr>
          <w:rFonts w:hint="cs"/>
          <w:rtl/>
        </w:rPr>
        <w:t xml:space="preserve">, </w:t>
      </w:r>
      <w:proofErr w:type="spellStart"/>
      <w:r w:rsidR="00662210">
        <w:rPr>
          <w:rFonts w:hint="cs"/>
          <w:rtl/>
        </w:rPr>
        <w:t>לז</w:t>
      </w:r>
      <w:proofErr w:type="spellEnd"/>
      <w:r w:rsidR="00662210">
        <w:rPr>
          <w:rFonts w:hint="cs"/>
          <w:rtl/>
        </w:rPr>
        <w:t xml:space="preserve"> (תשע"ז), עמ' 294</w:t>
      </w:r>
      <w:r w:rsidR="00662210">
        <w:rPr>
          <w:rtl/>
        </w:rPr>
        <w:t>–</w:t>
      </w:r>
      <w:r w:rsidR="00662210">
        <w:rPr>
          <w:rFonts w:hint="cs"/>
          <w:rtl/>
        </w:rPr>
        <w:t xml:space="preserve">306 (זמין </w:t>
      </w:r>
      <w:r w:rsidR="00A52507">
        <w:rPr>
          <w:rFonts w:hint="cs"/>
          <w:rtl/>
        </w:rPr>
        <w:t xml:space="preserve">לעיון באתר </w:t>
      </w:r>
      <w:proofErr w:type="spellStart"/>
      <w:r w:rsidR="00662210">
        <w:rPr>
          <w:rFonts w:hint="cs"/>
          <w:rtl/>
        </w:rPr>
        <w:t>צהר</w:t>
      </w:r>
      <w:proofErr w:type="spellEnd"/>
      <w:r w:rsidR="00662210">
        <w:rPr>
          <w:rFonts w:hint="cs"/>
          <w:rtl/>
        </w:rPr>
        <w:t>).</w:t>
      </w:r>
      <w:r>
        <w:rPr>
          <w:rFonts w:hint="cs"/>
          <w:rtl/>
        </w:rPr>
        <w:t xml:space="preserve"> בכתי</w:t>
      </w:r>
      <w:r w:rsidR="00662210">
        <w:rPr>
          <w:rFonts w:hint="cs"/>
          <w:rtl/>
        </w:rPr>
        <w:t>בת נייר העמדה נעזרנו רבות במאמר</w:t>
      </w:r>
      <w:r>
        <w:rPr>
          <w:rFonts w:hint="cs"/>
          <w:rtl/>
        </w:rPr>
        <w:t xml:space="preserve"> זה, וכן במאמרו של הרב יובל </w:t>
      </w:r>
      <w:proofErr w:type="spellStart"/>
      <w:r>
        <w:rPr>
          <w:rFonts w:hint="cs"/>
          <w:rtl/>
        </w:rPr>
        <w:t>שרלו</w:t>
      </w:r>
      <w:proofErr w:type="spellEnd"/>
      <w:r>
        <w:rPr>
          <w:rFonts w:hint="cs"/>
          <w:rtl/>
        </w:rPr>
        <w:t>, "'</w:t>
      </w:r>
      <w:proofErr w:type="spellStart"/>
      <w:r w:rsidR="00A52507">
        <w:rPr>
          <w:rtl/>
        </w:rPr>
        <w:t>שיימ</w:t>
      </w:r>
      <w:r w:rsidR="00A52507">
        <w:rPr>
          <w:rFonts w:hint="cs"/>
          <w:rtl/>
        </w:rPr>
        <w:t>י</w:t>
      </w:r>
      <w:r w:rsidR="00A52507">
        <w:rPr>
          <w:rtl/>
        </w:rPr>
        <w:t>נ</w:t>
      </w:r>
      <w:r w:rsidRPr="00514A9E">
        <w:rPr>
          <w:rtl/>
        </w:rPr>
        <w:t>ג</w:t>
      </w:r>
      <w:proofErr w:type="spellEnd"/>
      <w:r>
        <w:rPr>
          <w:rFonts w:hint="cs"/>
          <w:rtl/>
        </w:rPr>
        <w:t>'</w:t>
      </w:r>
      <w:r w:rsidR="00A5250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514A9E">
        <w:rPr>
          <w:rtl/>
        </w:rPr>
        <w:t>הדרכה הלכתית מקוצרת</w:t>
      </w:r>
      <w:r>
        <w:rPr>
          <w:rFonts w:hint="cs"/>
          <w:rtl/>
        </w:rPr>
        <w:t xml:space="preserve">", המצוי גם הוא באתר </w:t>
      </w:r>
      <w:proofErr w:type="spellStart"/>
      <w:r>
        <w:rPr>
          <w:rFonts w:hint="cs"/>
          <w:rtl/>
        </w:rPr>
        <w:t>צהר</w:t>
      </w:r>
      <w:proofErr w:type="spellEnd"/>
      <w:r>
        <w:rPr>
          <w:rFonts w:hint="cs"/>
          <w:rtl/>
        </w:rPr>
        <w:t>.</w:t>
      </w:r>
    </w:p>
  </w:endnote>
  <w:endnote w:id="2">
    <w:p w:rsidR="00957151" w:rsidRDefault="00957151" w:rsidP="009068DC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ישנם מקרים </w:t>
      </w:r>
      <w:r w:rsidR="00EC04D5">
        <w:rPr>
          <w:rFonts w:hint="cs"/>
          <w:rtl/>
        </w:rPr>
        <w:t>ש</w:t>
      </w:r>
      <w:r>
        <w:rPr>
          <w:rFonts w:hint="cs"/>
          <w:rtl/>
        </w:rPr>
        <w:t>בהם הביוש הפומבי נועד להשיג מטרות הנתפסות בדרך כלל כחיוביות, כגון אזהרת ה</w:t>
      </w:r>
      <w:r w:rsidR="00A52507">
        <w:rPr>
          <w:rFonts w:hint="cs"/>
          <w:rtl/>
        </w:rPr>
        <w:t>ציבור מפני שירות גרוע בעסק מסוי</w:t>
      </w:r>
      <w:r>
        <w:rPr>
          <w:rFonts w:hint="cs"/>
          <w:rtl/>
        </w:rPr>
        <w:t>ם, חשיפה של שחיתות או נוכלו</w:t>
      </w:r>
      <w:r w:rsidR="00A52507">
        <w:rPr>
          <w:rFonts w:hint="cs"/>
          <w:rtl/>
        </w:rPr>
        <w:t>ּ</w:t>
      </w:r>
      <w:r>
        <w:rPr>
          <w:rFonts w:hint="cs"/>
          <w:rtl/>
        </w:rPr>
        <w:t>ת</w:t>
      </w:r>
      <w:r w:rsidR="00A52507">
        <w:rPr>
          <w:rFonts w:hint="cs"/>
          <w:rtl/>
        </w:rPr>
        <w:t>,</w:t>
      </w:r>
      <w:r>
        <w:rPr>
          <w:rFonts w:hint="cs"/>
          <w:rtl/>
        </w:rPr>
        <w:t xml:space="preserve"> וכן כפי</w:t>
      </w:r>
      <w:r w:rsidR="00A52507">
        <w:rPr>
          <w:rFonts w:hint="cs"/>
          <w:rtl/>
        </w:rPr>
        <w:t>י</w:t>
      </w:r>
      <w:r>
        <w:rPr>
          <w:rFonts w:hint="cs"/>
          <w:rtl/>
        </w:rPr>
        <w:t>ה של נו</w:t>
      </w:r>
      <w:r w:rsidR="00A52507">
        <w:rPr>
          <w:rFonts w:hint="cs"/>
          <w:rtl/>
        </w:rPr>
        <w:t>רמות התנהגות חברתיות. במקרים אלה</w:t>
      </w:r>
      <w:r>
        <w:rPr>
          <w:rFonts w:hint="cs"/>
          <w:rtl/>
        </w:rPr>
        <w:t xml:space="preserve"> יש לבחון את האיזון בין התועלת המקו</w:t>
      </w:r>
      <w:r w:rsidR="00A52507">
        <w:rPr>
          <w:rFonts w:hint="cs"/>
          <w:rtl/>
        </w:rPr>
        <w:t>ּ</w:t>
      </w:r>
      <w:r>
        <w:rPr>
          <w:rFonts w:hint="cs"/>
          <w:rtl/>
        </w:rPr>
        <w:t>וה לבין הנזק הו</w:t>
      </w:r>
      <w:r w:rsidR="00A52507">
        <w:rPr>
          <w:rFonts w:hint="cs"/>
          <w:rtl/>
        </w:rPr>
        <w:t>ודאי שייגרם. ראו</w:t>
      </w:r>
      <w:r>
        <w:rPr>
          <w:rFonts w:hint="cs"/>
          <w:rtl/>
        </w:rPr>
        <w:t xml:space="preserve"> בעניין זה </w:t>
      </w:r>
      <w:r w:rsidR="009068DC">
        <w:rPr>
          <w:rFonts w:hint="cs"/>
          <w:rtl/>
        </w:rPr>
        <w:t xml:space="preserve">במאמרו של הרב </w:t>
      </w:r>
      <w:proofErr w:type="spellStart"/>
      <w:r w:rsidR="009068DC">
        <w:rPr>
          <w:rFonts w:hint="cs"/>
          <w:rtl/>
        </w:rPr>
        <w:t>שרלו</w:t>
      </w:r>
      <w:proofErr w:type="spellEnd"/>
      <w:r>
        <w:rPr>
          <w:rFonts w:hint="cs"/>
          <w:rtl/>
        </w:rPr>
        <w:t xml:space="preserve"> </w:t>
      </w:r>
      <w:r w:rsidR="009068DC">
        <w:rPr>
          <w:rFonts w:hint="cs"/>
          <w:rtl/>
        </w:rPr>
        <w:t>(</w:t>
      </w:r>
      <w:r>
        <w:rPr>
          <w:rFonts w:hint="cs"/>
          <w:rtl/>
        </w:rPr>
        <w:t xml:space="preserve">לעיל </w:t>
      </w:r>
      <w:r w:rsidR="009068DC">
        <w:rPr>
          <w:rFonts w:hint="cs"/>
          <w:rtl/>
        </w:rPr>
        <w:t>ב</w:t>
      </w:r>
      <w:r>
        <w:rPr>
          <w:rFonts w:hint="cs"/>
          <w:rtl/>
        </w:rPr>
        <w:t xml:space="preserve">הערה </w:t>
      </w:r>
      <w:r w:rsidR="009068DC">
        <w:rPr>
          <w:rFonts w:hint="cs"/>
          <w:rtl/>
        </w:rPr>
        <w:t>ה</w:t>
      </w:r>
      <w:r w:rsidR="00A52507">
        <w:rPr>
          <w:rFonts w:hint="cs"/>
          <w:rtl/>
        </w:rPr>
        <w:t>קודמת</w:t>
      </w:r>
      <w:r w:rsidR="009068DC">
        <w:rPr>
          <w:rFonts w:hint="cs"/>
          <w:rtl/>
        </w:rPr>
        <w:t>)</w:t>
      </w:r>
      <w:r>
        <w:rPr>
          <w:rFonts w:hint="cs"/>
          <w:rtl/>
        </w:rPr>
        <w:t>.</w:t>
      </w:r>
    </w:p>
  </w:endnote>
  <w:endnote w:id="3">
    <w:p w:rsidR="00324F96" w:rsidRDefault="00324F96" w:rsidP="009068DC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הפוסקים דנו </w:t>
      </w:r>
      <w:r w:rsidR="009068DC">
        <w:rPr>
          <w:rFonts w:hint="cs"/>
          <w:rtl/>
        </w:rPr>
        <w:t>באריכות</w:t>
      </w:r>
      <w:r>
        <w:rPr>
          <w:rFonts w:hint="cs"/>
          <w:rtl/>
        </w:rPr>
        <w:t xml:space="preserve"> האם יש לראות קביעה זו כמחייבת מבחינה מעשית </w:t>
      </w:r>
      <w:r w:rsidR="009068DC">
        <w:rPr>
          <w:rFonts w:hint="cs"/>
          <w:rtl/>
        </w:rPr>
        <w:t xml:space="preserve">ואכן יש </w:t>
      </w:r>
      <w:r>
        <w:rPr>
          <w:rFonts w:hint="cs"/>
          <w:rtl/>
        </w:rPr>
        <w:t>למסור את הנפש ולא לבייש</w:t>
      </w:r>
      <w:r w:rsidR="009068DC">
        <w:rPr>
          <w:rFonts w:hint="cs"/>
          <w:rtl/>
        </w:rPr>
        <w:t xml:space="preserve"> את הזולת</w:t>
      </w:r>
      <w:r>
        <w:rPr>
          <w:rFonts w:hint="cs"/>
          <w:rtl/>
        </w:rPr>
        <w:t xml:space="preserve">, או </w:t>
      </w:r>
      <w:r w:rsidR="009068DC">
        <w:rPr>
          <w:rFonts w:hint="cs"/>
          <w:rtl/>
        </w:rPr>
        <w:t xml:space="preserve"> שמא מדובר בקביעה </w:t>
      </w:r>
      <w:proofErr w:type="spellStart"/>
      <w:r>
        <w:rPr>
          <w:rFonts w:hint="cs"/>
          <w:rtl/>
        </w:rPr>
        <w:t>אגדתית</w:t>
      </w:r>
      <w:r w:rsidR="009068DC">
        <w:rPr>
          <w:rFonts w:hint="eastAsia"/>
          <w:rtl/>
        </w:rPr>
        <w:t>־</w:t>
      </w:r>
      <w:r w:rsidR="009068DC">
        <w:rPr>
          <w:rFonts w:hint="cs"/>
          <w:rtl/>
        </w:rPr>
        <w:t>מוסרית</w:t>
      </w:r>
      <w:proofErr w:type="spellEnd"/>
      <w:r w:rsidR="009068DC">
        <w:rPr>
          <w:rFonts w:hint="cs"/>
          <w:rtl/>
        </w:rPr>
        <w:t xml:space="preserve"> בלבד. ראו</w:t>
      </w:r>
      <w:r>
        <w:rPr>
          <w:rFonts w:hint="cs"/>
          <w:rtl/>
        </w:rPr>
        <w:t xml:space="preserve"> במאמרו של הרב </w:t>
      </w:r>
      <w:proofErr w:type="spellStart"/>
      <w:r>
        <w:rPr>
          <w:rFonts w:hint="cs"/>
          <w:rtl/>
        </w:rPr>
        <w:t>זולדן</w:t>
      </w:r>
      <w:proofErr w:type="spellEnd"/>
      <w:r>
        <w:rPr>
          <w:rFonts w:hint="cs"/>
          <w:rtl/>
        </w:rPr>
        <w:t xml:space="preserve"> </w:t>
      </w:r>
      <w:r w:rsidR="009068DC">
        <w:rPr>
          <w:rFonts w:hint="cs"/>
          <w:rtl/>
        </w:rPr>
        <w:t>(</w:t>
      </w:r>
      <w:r>
        <w:rPr>
          <w:rFonts w:hint="cs"/>
          <w:rtl/>
        </w:rPr>
        <w:t>לעיל הערה 1</w:t>
      </w:r>
      <w:r w:rsidR="009068DC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</w:p>
  </w:endnote>
  <w:endnote w:id="4">
    <w:p w:rsidR="00871539" w:rsidRDefault="00871539" w:rsidP="009068DC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F24699">
        <w:rPr>
          <w:rFonts w:hint="cs"/>
          <w:rtl/>
        </w:rPr>
        <w:t xml:space="preserve">ואכן </w:t>
      </w:r>
      <w:r>
        <w:rPr>
          <w:rFonts w:hint="cs"/>
          <w:rtl/>
        </w:rPr>
        <w:t>ה</w:t>
      </w:r>
      <w:r w:rsidR="00F24699">
        <w:rPr>
          <w:rFonts w:hint="cs"/>
          <w:rtl/>
        </w:rPr>
        <w:t>"</w:t>
      </w:r>
      <w:r w:rsidRPr="00871539">
        <w:rPr>
          <w:rtl/>
        </w:rPr>
        <w:t>חפץ חיים</w:t>
      </w:r>
      <w:r w:rsidR="00F24699">
        <w:rPr>
          <w:rFonts w:hint="cs"/>
          <w:rtl/>
        </w:rPr>
        <w:t>" כתב</w:t>
      </w:r>
      <w:r w:rsidRPr="00871539">
        <w:rPr>
          <w:rtl/>
        </w:rPr>
        <w:t xml:space="preserve"> </w:t>
      </w:r>
      <w:r w:rsidR="00F24699">
        <w:rPr>
          <w:rFonts w:hint="cs"/>
          <w:rtl/>
        </w:rPr>
        <w:t>(</w:t>
      </w:r>
      <w:r w:rsidRPr="00871539">
        <w:rPr>
          <w:rtl/>
        </w:rPr>
        <w:t xml:space="preserve">שמירת הלשון, </w:t>
      </w:r>
      <w:r w:rsidR="009068DC">
        <w:rPr>
          <w:rFonts w:hint="cs"/>
          <w:rtl/>
        </w:rPr>
        <w:t xml:space="preserve">חלק </w:t>
      </w:r>
      <w:r w:rsidR="009068DC">
        <w:rPr>
          <w:rtl/>
        </w:rPr>
        <w:t>א</w:t>
      </w:r>
      <w:r w:rsidR="009068DC">
        <w:rPr>
          <w:rFonts w:hint="cs"/>
          <w:rtl/>
        </w:rPr>
        <w:t>,</w:t>
      </w:r>
      <w:r w:rsidR="009068DC">
        <w:rPr>
          <w:rtl/>
        </w:rPr>
        <w:t xml:space="preserve"> שער הזכירה</w:t>
      </w:r>
      <w:r w:rsidR="009068DC">
        <w:rPr>
          <w:rFonts w:hint="cs"/>
          <w:rtl/>
        </w:rPr>
        <w:t>,</w:t>
      </w:r>
      <w:r w:rsidR="009068DC">
        <w:rPr>
          <w:rtl/>
        </w:rPr>
        <w:t xml:space="preserve"> פרק ד</w:t>
      </w:r>
      <w:r w:rsidR="00F24699">
        <w:rPr>
          <w:rFonts w:hint="cs"/>
          <w:rtl/>
        </w:rPr>
        <w:t>)</w:t>
      </w:r>
      <w:r w:rsidRPr="00871539">
        <w:rPr>
          <w:rtl/>
        </w:rPr>
        <w:t xml:space="preserve"> </w:t>
      </w:r>
      <w:r w:rsidR="009068DC">
        <w:rPr>
          <w:rtl/>
        </w:rPr>
        <w:t xml:space="preserve">שמפרסמי </w:t>
      </w:r>
      <w:proofErr w:type="spellStart"/>
      <w:r w:rsidR="009068DC">
        <w:rPr>
          <w:rtl/>
        </w:rPr>
        <w:t>פ</w:t>
      </w:r>
      <w:r w:rsidRPr="00871539">
        <w:rPr>
          <w:rtl/>
        </w:rPr>
        <w:t>שקוו</w:t>
      </w:r>
      <w:r w:rsidR="009068DC">
        <w:rPr>
          <w:rFonts w:hint="cs"/>
          <w:rtl/>
        </w:rPr>
        <w:t>י</w:t>
      </w:r>
      <w:r w:rsidR="009068DC">
        <w:rPr>
          <w:rtl/>
        </w:rPr>
        <w:t>לי</w:t>
      </w:r>
      <w:r w:rsidR="009068DC">
        <w:rPr>
          <w:rFonts w:hint="cs"/>
          <w:rtl/>
        </w:rPr>
        <w:t>ם</w:t>
      </w:r>
      <w:proofErr w:type="spellEnd"/>
      <w:r w:rsidRPr="00871539">
        <w:rPr>
          <w:rtl/>
        </w:rPr>
        <w:t xml:space="preserve"> </w:t>
      </w:r>
      <w:r w:rsidR="00F24699">
        <w:rPr>
          <w:rFonts w:hint="cs"/>
          <w:rtl/>
        </w:rPr>
        <w:t>ש</w:t>
      </w:r>
      <w:r w:rsidR="009068DC">
        <w:rPr>
          <w:rFonts w:hint="cs"/>
          <w:rtl/>
        </w:rPr>
        <w:t>נועדו לבזות בני אדם</w:t>
      </w:r>
      <w:r>
        <w:rPr>
          <w:rFonts w:hint="cs"/>
          <w:rtl/>
        </w:rPr>
        <w:t xml:space="preserve"> </w:t>
      </w:r>
      <w:r w:rsidRPr="00871539">
        <w:rPr>
          <w:rtl/>
        </w:rPr>
        <w:t>עוברים על איסור "ארור מכה רעהו בסתר".</w:t>
      </w:r>
    </w:p>
  </w:endnote>
  <w:endnote w:id="5">
    <w:p w:rsidR="00FD6E73" w:rsidRDefault="00FD6E73" w:rsidP="00FD6E7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לשון רב </w:t>
      </w:r>
      <w:proofErr w:type="spellStart"/>
      <w:r>
        <w:rPr>
          <w:rFonts w:hint="cs"/>
          <w:rtl/>
        </w:rPr>
        <w:t>שרירא</w:t>
      </w:r>
      <w:proofErr w:type="spellEnd"/>
      <w:r>
        <w:rPr>
          <w:rFonts w:hint="cs"/>
          <w:rtl/>
        </w:rPr>
        <w:t xml:space="preserve"> גאון המובאת בדברי </w:t>
      </w:r>
      <w:proofErr w:type="spellStart"/>
      <w:r>
        <w:rPr>
          <w:rFonts w:hint="cs"/>
          <w:rtl/>
        </w:rPr>
        <w:t>הרא"ש</w:t>
      </w:r>
      <w:proofErr w:type="spellEnd"/>
      <w:r>
        <w:rPr>
          <w:rFonts w:hint="cs"/>
          <w:rtl/>
        </w:rPr>
        <w:t>, בבא קמא, פרק ח, סימן טו.</w:t>
      </w:r>
    </w:p>
  </w:endnote>
  <w:endnote w:id="6">
    <w:p w:rsidR="00FD6E73" w:rsidRDefault="00FD6E73">
      <w:pPr>
        <w:pStyle w:val="ae"/>
        <w:rPr>
          <w:rFonts w:hint="cs"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שם.</w:t>
      </w:r>
    </w:p>
  </w:endnote>
  <w:endnote w:id="7">
    <w:p w:rsidR="00F65BF6" w:rsidRDefault="00F65BF6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A52507">
        <w:rPr>
          <w:rtl/>
        </w:rPr>
        <w:t xml:space="preserve">הרב שלמה </w:t>
      </w:r>
      <w:proofErr w:type="spellStart"/>
      <w:r w:rsidR="00A52507">
        <w:rPr>
          <w:rtl/>
        </w:rPr>
        <w:t>גרינץ</w:t>
      </w:r>
      <w:proofErr w:type="spellEnd"/>
      <w:r w:rsidR="00A52507">
        <w:rPr>
          <w:rtl/>
        </w:rPr>
        <w:t xml:space="preserve">, </w:t>
      </w:r>
      <w:r w:rsidR="00A52507">
        <w:rPr>
          <w:rFonts w:hint="cs"/>
          <w:rtl/>
        </w:rPr>
        <w:t>'</w:t>
      </w:r>
      <w:r w:rsidR="00A52507">
        <w:rPr>
          <w:rtl/>
        </w:rPr>
        <w:t>דיני נזיקין בעידן המידע</w:t>
      </w:r>
      <w:r w:rsidR="00A52507">
        <w:rPr>
          <w:rFonts w:hint="cs"/>
          <w:rtl/>
        </w:rPr>
        <w:t>'</w:t>
      </w:r>
      <w:r w:rsidRPr="00F65BF6">
        <w:rPr>
          <w:rtl/>
        </w:rPr>
        <w:t xml:space="preserve">, </w:t>
      </w:r>
      <w:proofErr w:type="spellStart"/>
      <w:r w:rsidRPr="00F65BF6">
        <w:rPr>
          <w:rtl/>
        </w:rPr>
        <w:t>תחומין</w:t>
      </w:r>
      <w:proofErr w:type="spellEnd"/>
      <w:r w:rsidRPr="00F65BF6">
        <w:rPr>
          <w:rtl/>
        </w:rPr>
        <w:t>, לה</w:t>
      </w:r>
      <w:r w:rsidR="00A52507">
        <w:rPr>
          <w:rFonts w:hint="cs"/>
          <w:rtl/>
        </w:rPr>
        <w:t xml:space="preserve"> (תשע"ה),</w:t>
      </w:r>
      <w:r w:rsidRPr="00F65BF6">
        <w:rPr>
          <w:rtl/>
        </w:rPr>
        <w:t xml:space="preserve"> עמ' 448</w:t>
      </w:r>
      <w:r w:rsidR="00A52507">
        <w:rPr>
          <w:rFonts w:hint="cs"/>
          <w:rtl/>
        </w:rPr>
        <w:t>.</w:t>
      </w:r>
    </w:p>
  </w:endnote>
  <w:endnote w:id="8">
    <w:p w:rsidR="00F65BF6" w:rsidRDefault="00F65BF6" w:rsidP="00FD6E73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ברכות </w:t>
      </w:r>
      <w:proofErr w:type="spellStart"/>
      <w:r>
        <w:rPr>
          <w:rFonts w:hint="cs"/>
          <w:rtl/>
        </w:rPr>
        <w:t>יט</w:t>
      </w:r>
      <w:proofErr w:type="spellEnd"/>
      <w:r>
        <w:rPr>
          <w:rFonts w:hint="cs"/>
          <w:rtl/>
        </w:rPr>
        <w:t xml:space="preserve"> ע"ב. ישנן גם הלכות מן </w:t>
      </w:r>
      <w:r w:rsidR="00FD6E73">
        <w:rPr>
          <w:rFonts w:hint="cs"/>
          <w:rtl/>
        </w:rPr>
        <w:t>התורה שחכמים נימקו אותן כמבוססות על כבוד הבריות</w:t>
      </w:r>
      <w:r>
        <w:rPr>
          <w:rFonts w:hint="cs"/>
          <w:rtl/>
        </w:rPr>
        <w:t xml:space="preserve"> </w:t>
      </w:r>
      <w:r w:rsidR="00FD6E73">
        <w:rPr>
          <w:rFonts w:hint="cs"/>
          <w:rtl/>
        </w:rPr>
        <w:t xml:space="preserve">(לדוגמה, </w:t>
      </w:r>
      <w:r w:rsidRPr="00F65BF6">
        <w:rPr>
          <w:rtl/>
        </w:rPr>
        <w:t>ההולך לשחוט את פסחו ו</w:t>
      </w:r>
      <w:r w:rsidR="00FD6E73">
        <w:rPr>
          <w:rtl/>
        </w:rPr>
        <w:t>למול את בנו, ופגע במת</w:t>
      </w:r>
      <w:r w:rsidR="00FD6E73">
        <w:rPr>
          <w:rFonts w:hint="cs"/>
          <w:rtl/>
        </w:rPr>
        <w:t xml:space="preserve"> </w:t>
      </w:r>
      <w:r w:rsidRPr="00F65BF6">
        <w:rPr>
          <w:rtl/>
        </w:rPr>
        <w:t>מצ</w:t>
      </w:r>
      <w:r w:rsidR="00FD6E73">
        <w:rPr>
          <w:rFonts w:hint="cs"/>
          <w:rtl/>
        </w:rPr>
        <w:t>ו</w:t>
      </w:r>
      <w:r w:rsidRPr="00F65BF6">
        <w:rPr>
          <w:rtl/>
        </w:rPr>
        <w:t>וה, הרי זה נטמא לאותו המת</w:t>
      </w:r>
      <w:r>
        <w:rPr>
          <w:rFonts w:hint="cs"/>
          <w:rtl/>
        </w:rPr>
        <w:t>,</w:t>
      </w:r>
      <w:r w:rsidRPr="00F65BF6">
        <w:rPr>
          <w:rtl/>
        </w:rPr>
        <w:t xml:space="preserve"> ש</w:t>
      </w:r>
      <w:r w:rsidR="00FD6E73">
        <w:rPr>
          <w:rFonts w:hint="cs"/>
          <w:rtl/>
        </w:rPr>
        <w:t xml:space="preserve">כן </w:t>
      </w:r>
      <w:r w:rsidRPr="00F65BF6">
        <w:rPr>
          <w:rtl/>
        </w:rPr>
        <w:t xml:space="preserve">כבוד הבריות </w:t>
      </w:r>
      <w:r w:rsidR="00FD6E73">
        <w:rPr>
          <w:rtl/>
        </w:rPr>
        <w:t>–</w:t>
      </w:r>
      <w:r w:rsidRPr="00F65BF6">
        <w:rPr>
          <w:rtl/>
        </w:rPr>
        <w:t xml:space="preserve"> </w:t>
      </w:r>
      <w:r w:rsidR="00FD6E73">
        <w:rPr>
          <w:rFonts w:hint="cs"/>
          <w:rtl/>
        </w:rPr>
        <w:t xml:space="preserve">בהקשר זה החשש שמא </w:t>
      </w:r>
      <w:r w:rsidRPr="00F65BF6">
        <w:rPr>
          <w:rtl/>
        </w:rPr>
        <w:t xml:space="preserve">המת </w:t>
      </w:r>
      <w:r w:rsidR="00FD6E73">
        <w:rPr>
          <w:rFonts w:hint="cs"/>
          <w:rtl/>
        </w:rPr>
        <w:t xml:space="preserve">יהיה </w:t>
      </w:r>
      <w:r w:rsidRPr="00F65BF6">
        <w:rPr>
          <w:rtl/>
        </w:rPr>
        <w:t>מוטל בב</w:t>
      </w:r>
      <w:r w:rsidR="00FD6E73">
        <w:rPr>
          <w:rFonts w:hint="cs"/>
          <w:rtl/>
        </w:rPr>
        <w:t>י</w:t>
      </w:r>
      <w:r w:rsidR="00FD6E73">
        <w:rPr>
          <w:rtl/>
        </w:rPr>
        <w:t>זיון</w:t>
      </w:r>
      <w:r w:rsidRPr="00F65BF6">
        <w:rPr>
          <w:rtl/>
        </w:rPr>
        <w:t xml:space="preserve"> ללא קבורה, </w:t>
      </w:r>
      <w:r w:rsidR="00FD6E73">
        <w:rPr>
          <w:rFonts w:hint="cs"/>
          <w:rtl/>
        </w:rPr>
        <w:t>ו</w:t>
      </w:r>
      <w:r w:rsidRPr="00F65BF6">
        <w:rPr>
          <w:rtl/>
        </w:rPr>
        <w:t xml:space="preserve">יסריח או יאכלוהו כלבים </w:t>
      </w:r>
      <w:r w:rsidR="00FD6E73">
        <w:rPr>
          <w:rtl/>
        </w:rPr>
        <w:t>–</w:t>
      </w:r>
      <w:r w:rsidRPr="00F65BF6">
        <w:rPr>
          <w:rtl/>
        </w:rPr>
        <w:t xml:space="preserve"> דוחה את מצוות ק</w:t>
      </w:r>
      <w:r w:rsidR="00FD6E73">
        <w:rPr>
          <w:rFonts w:hint="cs"/>
          <w:rtl/>
        </w:rPr>
        <w:t>ו</w:t>
      </w:r>
      <w:r w:rsidRPr="00F65BF6">
        <w:rPr>
          <w:rtl/>
        </w:rPr>
        <w:t>רבן פסח ומילה</w:t>
      </w:r>
      <w:r w:rsidR="00FD6E73">
        <w:rPr>
          <w:rFonts w:hint="cs"/>
          <w:rtl/>
        </w:rPr>
        <w:t>)</w:t>
      </w:r>
      <w:r>
        <w:rPr>
          <w:rFonts w:hint="cs"/>
          <w:rtl/>
        </w:rPr>
        <w:t>. דין זה</w:t>
      </w:r>
      <w:r w:rsidR="009068DC">
        <w:rPr>
          <w:rFonts w:hint="cs"/>
          <w:rtl/>
        </w:rPr>
        <w:t xml:space="preserve"> נידון באריכות ובהרחבה יתרה בספרי הפוסקים ואין כאן המקום להרחיב בכך; ראו</w:t>
      </w:r>
      <w:r>
        <w:rPr>
          <w:rFonts w:hint="cs"/>
          <w:rtl/>
        </w:rPr>
        <w:t xml:space="preserve"> אנציקלופדיה תלמודית, , כרך </w:t>
      </w:r>
      <w:proofErr w:type="spellStart"/>
      <w:r>
        <w:rPr>
          <w:rFonts w:hint="cs"/>
          <w:rtl/>
        </w:rPr>
        <w:t>כו</w:t>
      </w:r>
      <w:proofErr w:type="spellEnd"/>
      <w:r>
        <w:rPr>
          <w:rFonts w:hint="cs"/>
          <w:rtl/>
        </w:rPr>
        <w:t xml:space="preserve">, </w:t>
      </w:r>
      <w:r w:rsidR="009068DC">
        <w:rPr>
          <w:rFonts w:hint="cs"/>
          <w:rtl/>
        </w:rPr>
        <w:t xml:space="preserve">ערך 'כבוד הבריות', </w:t>
      </w:r>
      <w:r>
        <w:rPr>
          <w:rFonts w:hint="cs"/>
          <w:rtl/>
        </w:rPr>
        <w:t>טור תעז ואילך.</w:t>
      </w:r>
    </w:p>
  </w:endnote>
  <w:endnote w:id="9">
    <w:p w:rsidR="00F15526" w:rsidRDefault="00F15526" w:rsidP="00F24699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נשמת אברהם, סימן </w:t>
      </w:r>
      <w:proofErr w:type="spellStart"/>
      <w:r>
        <w:rPr>
          <w:rFonts w:hint="cs"/>
          <w:rtl/>
        </w:rPr>
        <w:t>שמ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ס</w:t>
      </w:r>
      <w:r w:rsidR="00F24699">
        <w:rPr>
          <w:rFonts w:hint="cs"/>
          <w:rtl/>
        </w:rPr>
        <w:t>"ק</w:t>
      </w:r>
      <w:proofErr w:type="spellEnd"/>
      <w:r w:rsidR="00F24699">
        <w:rPr>
          <w:rFonts w:hint="cs"/>
          <w:rtl/>
        </w:rPr>
        <w:t xml:space="preserve"> </w:t>
      </w:r>
      <w:r>
        <w:rPr>
          <w:rFonts w:hint="cs"/>
          <w:rtl/>
        </w:rPr>
        <w:t>ז.</w:t>
      </w:r>
    </w:p>
  </w:endnote>
  <w:endnote w:id="10">
    <w:p w:rsidR="00AF1C42" w:rsidRDefault="00AF1C42" w:rsidP="00A52507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A52507">
        <w:rPr>
          <w:rFonts w:hint="cs"/>
          <w:rtl/>
        </w:rPr>
        <w:t xml:space="preserve">שו"ת </w:t>
      </w:r>
      <w:r>
        <w:rPr>
          <w:rFonts w:hint="cs"/>
          <w:rtl/>
        </w:rPr>
        <w:t xml:space="preserve">מנחת שלמה, </w:t>
      </w:r>
      <w:proofErr w:type="spellStart"/>
      <w:r w:rsidR="00A52507">
        <w:rPr>
          <w:rFonts w:hint="cs"/>
          <w:rtl/>
        </w:rPr>
        <w:t>מהדורא</w:t>
      </w:r>
      <w:proofErr w:type="spellEnd"/>
      <w:r w:rsidR="00A52507">
        <w:rPr>
          <w:rFonts w:hint="cs"/>
          <w:rtl/>
        </w:rPr>
        <w:t xml:space="preserve"> קמא,</w:t>
      </w:r>
      <w:r>
        <w:rPr>
          <w:rFonts w:hint="cs"/>
          <w:rtl/>
        </w:rPr>
        <w:t xml:space="preserve"> סימן ז. </w:t>
      </w:r>
    </w:p>
  </w:endnote>
  <w:endnote w:id="11">
    <w:p w:rsidR="00961ECD" w:rsidRDefault="00961ECD" w:rsidP="00A52507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רא</w:t>
      </w:r>
      <w:bookmarkStart w:id="0" w:name="_GoBack"/>
      <w:bookmarkEnd w:id="0"/>
      <w:r w:rsidR="00A52507">
        <w:rPr>
          <w:rFonts w:hint="cs"/>
          <w:rtl/>
        </w:rPr>
        <w:t>ו</w:t>
      </w:r>
      <w:r>
        <w:rPr>
          <w:rFonts w:hint="cs"/>
          <w:rtl/>
        </w:rPr>
        <w:t xml:space="preserve"> אביעד הכהן, "</w:t>
      </w:r>
      <w:r w:rsidRPr="00961ECD">
        <w:rPr>
          <w:rtl/>
        </w:rPr>
        <w:t>האיסור לבייש אדם וחובת השמירה על כבודו</w:t>
      </w:r>
      <w:r>
        <w:rPr>
          <w:rFonts w:hint="cs"/>
          <w:rtl/>
        </w:rPr>
        <w:t>",</w:t>
      </w:r>
      <w:r w:rsidR="00A52507">
        <w:rPr>
          <w:rFonts w:hint="cs"/>
          <w:rtl/>
        </w:rPr>
        <w:t xml:space="preserve"> פרשת השבוע, גיליון 273 (</w:t>
      </w:r>
      <w:proofErr w:type="spellStart"/>
      <w:r w:rsidR="00A52507">
        <w:rPr>
          <w:rFonts w:hint="cs"/>
          <w:rtl/>
        </w:rPr>
        <w:t>ויגש</w:t>
      </w:r>
      <w:proofErr w:type="spellEnd"/>
      <w:r w:rsidR="00A52507">
        <w:rPr>
          <w:rFonts w:hint="cs"/>
          <w:rtl/>
        </w:rPr>
        <w:t xml:space="preserve"> תשע"ז).</w:t>
      </w:r>
      <w:r>
        <w:rPr>
          <w:rFonts w:hint="cs"/>
          <w:rtl/>
        </w:rPr>
        <w:t xml:space="preserve"> זמין במרשתת.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8B61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B67482" w:rsidRPr="00E55679" w:rsidRDefault="005F4774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774" w:rsidRDefault="005F4774">
      <w:r>
        <w:separator/>
      </w:r>
    </w:p>
  </w:footnote>
  <w:footnote w:type="continuationSeparator" w:id="0">
    <w:p w:rsidR="005F4774" w:rsidRDefault="005F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3F53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7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3"/>
  </w:num>
  <w:num w:numId="9">
    <w:abstractNumId w:val="3"/>
  </w:num>
  <w:num w:numId="10">
    <w:abstractNumId w:val="24"/>
  </w:num>
  <w:num w:numId="11">
    <w:abstractNumId w:val="30"/>
  </w:num>
  <w:num w:numId="12">
    <w:abstractNumId w:val="14"/>
  </w:num>
  <w:num w:numId="13">
    <w:abstractNumId w:val="32"/>
  </w:num>
  <w:num w:numId="14">
    <w:abstractNumId w:val="28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11"/>
  </w:num>
  <w:num w:numId="30">
    <w:abstractNumId w:val="34"/>
  </w:num>
  <w:num w:numId="31">
    <w:abstractNumId w:val="31"/>
  </w:num>
  <w:num w:numId="32">
    <w:abstractNumId w:val="0"/>
  </w:num>
  <w:num w:numId="33">
    <w:abstractNumId w:val="6"/>
  </w:num>
  <w:num w:numId="34">
    <w:abstractNumId w:val="26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9E"/>
    <w:rsid w:val="0000267A"/>
    <w:rsid w:val="0001496B"/>
    <w:rsid w:val="00022AF4"/>
    <w:rsid w:val="00027EB6"/>
    <w:rsid w:val="00036B4D"/>
    <w:rsid w:val="0005412E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1127"/>
    <w:rsid w:val="00114F54"/>
    <w:rsid w:val="001236B6"/>
    <w:rsid w:val="00126278"/>
    <w:rsid w:val="00126F03"/>
    <w:rsid w:val="001273D3"/>
    <w:rsid w:val="00135541"/>
    <w:rsid w:val="00137408"/>
    <w:rsid w:val="00142BFA"/>
    <w:rsid w:val="001525AD"/>
    <w:rsid w:val="00160D00"/>
    <w:rsid w:val="0017536C"/>
    <w:rsid w:val="00175902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24F96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E28E3"/>
    <w:rsid w:val="003E2EBE"/>
    <w:rsid w:val="003E4627"/>
    <w:rsid w:val="003F10E8"/>
    <w:rsid w:val="003F6BE1"/>
    <w:rsid w:val="0041121B"/>
    <w:rsid w:val="0041595D"/>
    <w:rsid w:val="0041684D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4A9E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D0361"/>
    <w:rsid w:val="005D45A5"/>
    <w:rsid w:val="005D6B80"/>
    <w:rsid w:val="005E0A03"/>
    <w:rsid w:val="005E3A0F"/>
    <w:rsid w:val="005F1A3C"/>
    <w:rsid w:val="005F4774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62210"/>
    <w:rsid w:val="00670E3E"/>
    <w:rsid w:val="00673688"/>
    <w:rsid w:val="00675486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639EF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419DA"/>
    <w:rsid w:val="00842E88"/>
    <w:rsid w:val="00854BCF"/>
    <w:rsid w:val="00855EEB"/>
    <w:rsid w:val="00867D31"/>
    <w:rsid w:val="00871539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902461"/>
    <w:rsid w:val="009068DC"/>
    <w:rsid w:val="009158D3"/>
    <w:rsid w:val="009311AE"/>
    <w:rsid w:val="00932750"/>
    <w:rsid w:val="00940F3E"/>
    <w:rsid w:val="00944D2F"/>
    <w:rsid w:val="00952D0C"/>
    <w:rsid w:val="00954011"/>
    <w:rsid w:val="00955CD0"/>
    <w:rsid w:val="00957151"/>
    <w:rsid w:val="00961ECD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2507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D2AB7"/>
    <w:rsid w:val="00AD5DF3"/>
    <w:rsid w:val="00AF1C42"/>
    <w:rsid w:val="00AF227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52DE"/>
    <w:rsid w:val="00BF5665"/>
    <w:rsid w:val="00C0071D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A7E67"/>
    <w:rsid w:val="00CB3A5C"/>
    <w:rsid w:val="00CB7799"/>
    <w:rsid w:val="00CE39DC"/>
    <w:rsid w:val="00CE455D"/>
    <w:rsid w:val="00CE6D42"/>
    <w:rsid w:val="00CF5D85"/>
    <w:rsid w:val="00D0580D"/>
    <w:rsid w:val="00D075E8"/>
    <w:rsid w:val="00D12257"/>
    <w:rsid w:val="00D24F11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B47AA"/>
    <w:rsid w:val="00EC04D5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15526"/>
    <w:rsid w:val="00F21213"/>
    <w:rsid w:val="00F24699"/>
    <w:rsid w:val="00F27E2E"/>
    <w:rsid w:val="00F32250"/>
    <w:rsid w:val="00F33278"/>
    <w:rsid w:val="00F3632B"/>
    <w:rsid w:val="00F41A17"/>
    <w:rsid w:val="00F4490C"/>
    <w:rsid w:val="00F47538"/>
    <w:rsid w:val="00F55578"/>
    <w:rsid w:val="00F65BF6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D6E73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AC3652-2798-43F2-9A65-D28F5078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D5"/>
    <w:pPr>
      <w:bidi/>
      <w:spacing w:line="360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ind w:firstLine="340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DF4A-585C-47A3-96BE-02942316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830</Words>
  <Characters>3703</Characters>
  <Application>Microsoft Office Word</Application>
  <DocSecurity>0</DocSecurity>
  <Lines>66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שמואל מרצבך</cp:lastModifiedBy>
  <cp:revision>3</cp:revision>
  <cp:lastPrinted>2016-02-21T08:13:00Z</cp:lastPrinted>
  <dcterms:created xsi:type="dcterms:W3CDTF">2018-12-03T11:08:00Z</dcterms:created>
  <dcterms:modified xsi:type="dcterms:W3CDTF">2018-12-03T13:26:00Z</dcterms:modified>
</cp:coreProperties>
</file>